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8EC54" w14:textId="4F4A33B6" w:rsidR="002E4720" w:rsidRPr="00193363" w:rsidRDefault="002E4720" w:rsidP="002E4720">
      <w:pPr>
        <w:rPr>
          <w:rFonts w:cstheme="minorHAnsi"/>
          <w:b/>
          <w:bCs/>
        </w:rPr>
      </w:pPr>
      <w:bookmarkStart w:id="0" w:name="_GoBack"/>
      <w:bookmarkEnd w:id="0"/>
      <w:r w:rsidRPr="00193363">
        <w:rPr>
          <w:rFonts w:cstheme="minorHAnsi"/>
          <w:b/>
          <w:bCs/>
        </w:rPr>
        <w:t>201</w:t>
      </w:r>
      <w:r w:rsidR="00193363" w:rsidRPr="00193363">
        <w:rPr>
          <w:rFonts w:cstheme="minorHAnsi"/>
          <w:b/>
          <w:bCs/>
        </w:rPr>
        <w:t>7</w:t>
      </w:r>
      <w:r w:rsidRPr="00193363">
        <w:rPr>
          <w:rFonts w:cstheme="minorHAnsi"/>
          <w:b/>
          <w:bCs/>
        </w:rPr>
        <w:t xml:space="preserve"> Year End Snapshot</w:t>
      </w:r>
    </w:p>
    <w:p w14:paraId="4EC8AEAD" w14:textId="2F061D91" w:rsidR="00193363" w:rsidRPr="00193363" w:rsidRDefault="00720562" w:rsidP="00193363">
      <w:pPr>
        <w:spacing w:after="0"/>
        <w:rPr>
          <w:rFonts w:eastAsia="Calibri" w:cstheme="minorHAnsi"/>
        </w:rPr>
      </w:pPr>
      <w:r>
        <w:rPr>
          <w:rFonts w:eastAsia="Calibri" w:cstheme="minorHAnsi"/>
        </w:rPr>
        <w:t>SSYP served 1,264 youth</w:t>
      </w:r>
      <w:r w:rsidR="00193363" w:rsidRPr="00193363">
        <w:rPr>
          <w:rFonts w:eastAsia="Calibri" w:cstheme="minorHAnsi"/>
        </w:rPr>
        <w:t xml:space="preserve"> during 2017 </w:t>
      </w:r>
      <w:r>
        <w:rPr>
          <w:rFonts w:eastAsia="Calibri" w:cstheme="minorHAnsi"/>
        </w:rPr>
        <w:t>through the following services:</w:t>
      </w:r>
      <w:r w:rsidR="00193363" w:rsidRPr="00193363">
        <w:rPr>
          <w:rFonts w:eastAsia="Calibri" w:cstheme="minorHAnsi"/>
        </w:rPr>
        <w:t xml:space="preserve"> alternative activities for youth</w:t>
      </w:r>
      <w:r>
        <w:rPr>
          <w:rFonts w:eastAsia="Calibri" w:cstheme="minorHAnsi"/>
        </w:rPr>
        <w:t>,</w:t>
      </w:r>
      <w:r w:rsidR="00193363" w:rsidRPr="00193363">
        <w:rPr>
          <w:rFonts w:eastAsia="Calibri" w:cstheme="minorHAnsi"/>
        </w:rPr>
        <w:t xml:space="preserve"> youth and young adult intervention services</w:t>
      </w:r>
      <w:r>
        <w:rPr>
          <w:rFonts w:eastAsia="Calibri" w:cstheme="minorHAnsi"/>
        </w:rPr>
        <w:t>,</w:t>
      </w:r>
      <w:r w:rsidR="00193363" w:rsidRPr="00193363">
        <w:rPr>
          <w:rFonts w:eastAsia="Calibri" w:cstheme="minorHAnsi"/>
        </w:rPr>
        <w:t xml:space="preserve"> evidence-based curriculum (</w:t>
      </w:r>
      <w:r w:rsidR="00193363" w:rsidRPr="00193363">
        <w:rPr>
          <w:rFonts w:eastAsia="Calibri" w:cstheme="minorHAnsi"/>
          <w:i/>
        </w:rPr>
        <w:t xml:space="preserve">i.e., </w:t>
      </w:r>
      <w:r w:rsidR="00193363" w:rsidRPr="00193363">
        <w:rPr>
          <w:rFonts w:eastAsia="Calibri" w:cstheme="minorHAnsi"/>
        </w:rPr>
        <w:t xml:space="preserve">HIV/STD/pregnancy prevention programs), community outreach/engagement and capacity, and information dissemination. </w:t>
      </w:r>
      <w:r w:rsidR="00B53798">
        <w:rPr>
          <w:rFonts w:eastAsia="Calibri" w:cstheme="minorHAnsi"/>
        </w:rPr>
        <w:t>The greatest number of services (</w:t>
      </w:r>
      <w:r w:rsidR="00B53798" w:rsidRPr="00720562">
        <w:rPr>
          <w:rFonts w:eastAsia="Calibri" w:cstheme="minorHAnsi"/>
        </w:rPr>
        <w:t>22,388</w:t>
      </w:r>
      <w:r w:rsidR="00B53798">
        <w:rPr>
          <w:rFonts w:eastAsia="Calibri" w:cstheme="minorHAnsi"/>
        </w:rPr>
        <w:t xml:space="preserve">) were provided through alternative activities for youth. Figure 1 displays the distribution of services provided by SSYP in 2017. A breakdown by each type of service follows. </w:t>
      </w:r>
      <w:r w:rsidR="00193363" w:rsidRPr="00193363">
        <w:rPr>
          <w:rFonts w:eastAsia="Calibri" w:cstheme="minorHAnsi"/>
        </w:rPr>
        <w:br/>
      </w:r>
    </w:p>
    <w:p w14:paraId="03E1EF81" w14:textId="77777777" w:rsidR="00193363" w:rsidRPr="00193363" w:rsidRDefault="00193363" w:rsidP="00193363">
      <w:pPr>
        <w:keepNext/>
        <w:keepLines/>
        <w:spacing w:before="40" w:after="120"/>
        <w:rPr>
          <w:rFonts w:eastAsia="Calibri" w:cstheme="minorHAnsi"/>
          <w:b/>
          <w:color w:val="1F4E79"/>
        </w:rPr>
      </w:pPr>
      <w:r w:rsidRPr="00193363">
        <w:rPr>
          <w:rFonts w:eastAsia="Calibri" w:cstheme="minorHAnsi"/>
          <w:b/>
          <w:color w:val="1F4E79"/>
        </w:rPr>
        <w:t xml:space="preserve">Figure 1. Type of Activities &amp; Services Offered by SSYP </w:t>
      </w:r>
    </w:p>
    <w:p w14:paraId="0DADD460" w14:textId="77777777" w:rsidR="00193363" w:rsidRPr="00193363" w:rsidRDefault="00193363" w:rsidP="00193363">
      <w:pPr>
        <w:keepNext/>
        <w:keepLines/>
        <w:spacing w:before="40" w:after="120"/>
        <w:rPr>
          <w:rFonts w:eastAsia="Calibri" w:cstheme="minorHAnsi"/>
        </w:rPr>
      </w:pPr>
      <w:r w:rsidRPr="00193363">
        <w:rPr>
          <w:rFonts w:eastAsia="Calibri" w:cstheme="minorHAnsi"/>
          <w:noProof/>
        </w:rPr>
        <w:drawing>
          <wp:inline distT="0" distB="0" distL="0" distR="0" wp14:anchorId="1D3205C9" wp14:editId="2314B8ED">
            <wp:extent cx="5857875" cy="3200400"/>
            <wp:effectExtent l="0" t="0" r="0" b="0"/>
            <wp:docPr id="452" name="Chart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23FDF53" w14:textId="7C2A5B5C" w:rsidR="00585F0F" w:rsidRPr="00193363" w:rsidRDefault="00585F0F" w:rsidP="00585F0F">
      <w:pPr>
        <w:spacing w:before="40" w:after="0"/>
        <w:outlineLvl w:val="1"/>
        <w:rPr>
          <w:rFonts w:eastAsia="Times New Roman" w:cstheme="minorHAnsi"/>
          <w:color w:val="2E74B5"/>
        </w:rPr>
      </w:pPr>
      <w:r w:rsidRPr="00193363">
        <w:rPr>
          <w:rFonts w:eastAsia="Times New Roman" w:cstheme="minorHAnsi"/>
          <w:color w:val="2E74B5"/>
        </w:rPr>
        <w:t>Youth/Young Adult Intervention Services</w:t>
      </w:r>
    </w:p>
    <w:p w14:paraId="60B9164E" w14:textId="77777777" w:rsidR="00193363" w:rsidRPr="00193363" w:rsidRDefault="00193363" w:rsidP="00193363">
      <w:pPr>
        <w:spacing w:after="0"/>
        <w:rPr>
          <w:rFonts w:eastAsia="Calibri" w:cstheme="minorHAnsi"/>
        </w:rPr>
      </w:pPr>
      <w:r w:rsidRPr="00193363">
        <w:rPr>
          <w:rFonts w:eastAsia="Calibri" w:cstheme="minorHAnsi"/>
        </w:rPr>
        <w:t>Youth and young adult intervention services included vocational training/skill building (</w:t>
      </w:r>
      <w:r w:rsidRPr="00193363">
        <w:rPr>
          <w:rFonts w:eastAsia="Calibri" w:cstheme="minorHAnsi"/>
          <w:i/>
        </w:rPr>
        <w:t>e.g.,</w:t>
      </w:r>
      <w:r w:rsidRPr="00193363">
        <w:rPr>
          <w:rFonts w:eastAsia="Calibri" w:cstheme="minorHAnsi"/>
        </w:rPr>
        <w:t xml:space="preserve"> youth were trained to handle </w:t>
      </w:r>
      <w:proofErr w:type="spellStart"/>
      <w:r w:rsidRPr="00193363">
        <w:rPr>
          <w:rFonts w:eastAsia="Calibri" w:cstheme="minorHAnsi"/>
        </w:rPr>
        <w:t>biowaste</w:t>
      </w:r>
      <w:proofErr w:type="spellEnd"/>
      <w:r w:rsidRPr="00193363">
        <w:rPr>
          <w:rFonts w:eastAsia="Calibri" w:cstheme="minorHAnsi"/>
        </w:rPr>
        <w:t xml:space="preserve"> for the trash program) case management services (</w:t>
      </w:r>
      <w:r w:rsidRPr="00193363">
        <w:rPr>
          <w:rFonts w:eastAsia="Calibri" w:cstheme="minorHAnsi"/>
          <w:i/>
        </w:rPr>
        <w:t>e.g.,</w:t>
      </w:r>
      <w:r w:rsidRPr="00193363">
        <w:rPr>
          <w:rFonts w:eastAsia="Calibri" w:cstheme="minorHAnsi"/>
        </w:rPr>
        <w:t xml:space="preserve"> diagnostic psychological services), and functional/life skills (</w:t>
      </w:r>
      <w:r w:rsidRPr="00193363">
        <w:rPr>
          <w:rFonts w:eastAsia="Calibri" w:cstheme="minorHAnsi"/>
          <w:i/>
        </w:rPr>
        <w:t>e.g.,</w:t>
      </w:r>
      <w:r w:rsidRPr="00193363">
        <w:rPr>
          <w:rFonts w:eastAsia="Calibri" w:cstheme="minorHAnsi"/>
        </w:rPr>
        <w:t xml:space="preserve"> DMV appointments, bank account opened, clothes closet created). These services were provided to 537 individuals. Figure 2 shows a breakdown of </w:t>
      </w:r>
      <w:proofErr w:type="gramStart"/>
      <w:r w:rsidRPr="00193363">
        <w:rPr>
          <w:rFonts w:eastAsia="Calibri" w:cstheme="minorHAnsi"/>
        </w:rPr>
        <w:t>participants</w:t>
      </w:r>
      <w:proofErr w:type="gramEnd"/>
      <w:r w:rsidRPr="00193363">
        <w:rPr>
          <w:rFonts w:eastAsia="Calibri" w:cstheme="minorHAnsi"/>
        </w:rPr>
        <w:t xml:space="preserve"> served in each category. </w:t>
      </w:r>
    </w:p>
    <w:p w14:paraId="3799875A" w14:textId="77777777" w:rsidR="00193363" w:rsidRPr="00193363" w:rsidRDefault="00193363" w:rsidP="00585F0F">
      <w:pPr>
        <w:spacing w:after="0" w:line="240" w:lineRule="auto"/>
        <w:rPr>
          <w:rFonts w:eastAsia="Calibri" w:cstheme="minorHAnsi"/>
        </w:rPr>
      </w:pPr>
    </w:p>
    <w:p w14:paraId="17EA5972" w14:textId="77777777" w:rsidR="00193363" w:rsidRPr="00193363" w:rsidRDefault="00193363" w:rsidP="00193363">
      <w:pPr>
        <w:keepNext/>
        <w:keepLines/>
        <w:spacing w:before="120" w:after="0"/>
        <w:rPr>
          <w:rFonts w:eastAsia="Calibri" w:cstheme="minorHAnsi"/>
          <w:b/>
          <w:color w:val="1F4E79"/>
        </w:rPr>
      </w:pPr>
      <w:r w:rsidRPr="00193363">
        <w:rPr>
          <w:rFonts w:eastAsia="Calibri" w:cstheme="minorHAnsi"/>
          <w:b/>
          <w:color w:val="1F4E79"/>
        </w:rPr>
        <w:lastRenderedPageBreak/>
        <w:t>Figure 2. Youth/Young Adult Intervention Services Provided by SSYP</w:t>
      </w:r>
    </w:p>
    <w:p w14:paraId="14762469" w14:textId="77777777" w:rsidR="00193363" w:rsidRPr="00193363" w:rsidRDefault="00193363" w:rsidP="00193363">
      <w:pPr>
        <w:keepNext/>
        <w:keepLines/>
        <w:spacing w:after="0" w:line="240" w:lineRule="auto"/>
        <w:rPr>
          <w:rFonts w:eastAsia="Calibri" w:cstheme="minorHAnsi"/>
        </w:rPr>
      </w:pPr>
      <w:r w:rsidRPr="00193363">
        <w:rPr>
          <w:rFonts w:eastAsia="Calibri" w:cstheme="minorHAnsi"/>
          <w:noProof/>
        </w:rPr>
        <w:drawing>
          <wp:inline distT="0" distB="0" distL="0" distR="0" wp14:anchorId="6D072BD2" wp14:editId="4728FB51">
            <wp:extent cx="5895975" cy="2390775"/>
            <wp:effectExtent l="0" t="0" r="0" b="0"/>
            <wp:docPr id="453" name="Chart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35F9A40" w14:textId="77777777" w:rsidR="00193363" w:rsidRPr="00193363" w:rsidRDefault="00193363" w:rsidP="00193363">
      <w:pPr>
        <w:spacing w:after="0" w:line="240" w:lineRule="auto"/>
        <w:rPr>
          <w:rFonts w:eastAsia="Calibri" w:cstheme="minorHAnsi"/>
        </w:rPr>
      </w:pPr>
    </w:p>
    <w:p w14:paraId="7C6C6700" w14:textId="77777777" w:rsidR="00193363" w:rsidRPr="00193363" w:rsidRDefault="00193363" w:rsidP="00585F0F">
      <w:pPr>
        <w:spacing w:before="40" w:after="0"/>
        <w:rPr>
          <w:rFonts w:eastAsia="Calibri" w:cstheme="minorHAnsi"/>
        </w:rPr>
      </w:pPr>
      <w:r w:rsidRPr="00193363">
        <w:rPr>
          <w:rFonts w:eastAsia="Calibri" w:cstheme="minorHAnsi"/>
          <w:color w:val="2D74B5"/>
        </w:rPr>
        <w:t xml:space="preserve">Alternative Activities for Youth </w:t>
      </w:r>
    </w:p>
    <w:p w14:paraId="65B86941" w14:textId="57AC6A25" w:rsidR="00193363" w:rsidRPr="00720562" w:rsidRDefault="00193363" w:rsidP="00720562">
      <w:pPr>
        <w:spacing w:before="120" w:after="0"/>
        <w:rPr>
          <w:rFonts w:eastAsia="Calibri" w:cstheme="minorHAnsi"/>
        </w:rPr>
      </w:pPr>
      <w:r w:rsidRPr="00193363">
        <w:rPr>
          <w:rFonts w:eastAsia="Calibri" w:cstheme="minorHAnsi"/>
        </w:rPr>
        <w:t>Alternative activities for youth included a youth retreat, field trips, drop-in services, an underage drinking prevention campaign, the 6</w:t>
      </w:r>
      <w:r w:rsidRPr="00193363">
        <w:rPr>
          <w:rFonts w:eastAsia="Calibri" w:cstheme="minorHAnsi"/>
          <w:vertAlign w:val="superscript"/>
        </w:rPr>
        <w:t>th</w:t>
      </w:r>
      <w:r w:rsidRPr="00193363">
        <w:rPr>
          <w:rFonts w:eastAsia="Calibri" w:cstheme="minorHAnsi"/>
        </w:rPr>
        <w:t xml:space="preserve"> Annual Dry Party, and youth serving on the youth council/advisory board. </w:t>
      </w:r>
      <w:r w:rsidR="00720562">
        <w:rPr>
          <w:rFonts w:eastAsia="Calibri" w:cstheme="minorHAnsi"/>
        </w:rPr>
        <w:t xml:space="preserve">A total of </w:t>
      </w:r>
      <w:r w:rsidR="00720562" w:rsidRPr="00720562">
        <w:rPr>
          <w:rFonts w:eastAsia="Calibri" w:cstheme="minorHAnsi"/>
        </w:rPr>
        <w:t>22,388</w:t>
      </w:r>
      <w:r w:rsidR="00720562">
        <w:rPr>
          <w:rFonts w:eastAsia="Calibri" w:cstheme="minorHAnsi"/>
        </w:rPr>
        <w:t xml:space="preserve"> services were provided. </w:t>
      </w:r>
    </w:p>
    <w:p w14:paraId="6EAABEFF" w14:textId="77777777" w:rsidR="00193363" w:rsidRPr="00193363" w:rsidRDefault="00193363" w:rsidP="00585F0F">
      <w:pPr>
        <w:spacing w:before="120" w:after="0"/>
        <w:rPr>
          <w:rFonts w:eastAsia="Calibri" w:cstheme="minorHAnsi"/>
          <w:b/>
          <w:color w:val="1F4E79"/>
        </w:rPr>
      </w:pPr>
      <w:r w:rsidRPr="00193363">
        <w:rPr>
          <w:rFonts w:eastAsia="Calibri" w:cstheme="minorHAnsi"/>
          <w:b/>
          <w:color w:val="1F4E79"/>
        </w:rPr>
        <w:t>Figure 3. Alternative Activities for Youth</w:t>
      </w:r>
    </w:p>
    <w:p w14:paraId="276E3B6B" w14:textId="77777777" w:rsidR="00193363" w:rsidRPr="00193363" w:rsidRDefault="00193363" w:rsidP="00585F0F">
      <w:pPr>
        <w:spacing w:after="0" w:line="240" w:lineRule="auto"/>
        <w:rPr>
          <w:rFonts w:eastAsia="Calibri" w:cstheme="minorHAnsi"/>
        </w:rPr>
      </w:pPr>
      <w:r w:rsidRPr="00193363">
        <w:rPr>
          <w:rFonts w:eastAsia="Calibri" w:cstheme="minorHAnsi"/>
          <w:noProof/>
        </w:rPr>
        <w:drawing>
          <wp:inline distT="0" distB="0" distL="0" distR="0" wp14:anchorId="0A3E3F26" wp14:editId="11095DCA">
            <wp:extent cx="5895975" cy="3400425"/>
            <wp:effectExtent l="0" t="0" r="0" b="0"/>
            <wp:docPr id="454" name="Chart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AEA383C" w14:textId="77777777" w:rsidR="00193363" w:rsidRPr="00193363" w:rsidRDefault="00193363" w:rsidP="00585F0F">
      <w:pPr>
        <w:spacing w:after="0" w:line="240" w:lineRule="auto"/>
        <w:rPr>
          <w:rFonts w:eastAsia="Calibri" w:cstheme="minorHAnsi"/>
          <w:bCs/>
          <w:lang w:bidi="en-US"/>
        </w:rPr>
      </w:pPr>
    </w:p>
    <w:p w14:paraId="167C30C3" w14:textId="77777777" w:rsidR="00193363" w:rsidRPr="00193363" w:rsidRDefault="00193363" w:rsidP="00585F0F">
      <w:pPr>
        <w:keepNext/>
        <w:keepLines/>
        <w:spacing w:before="40" w:after="0" w:line="240" w:lineRule="auto"/>
        <w:outlineLvl w:val="2"/>
        <w:rPr>
          <w:rFonts w:eastAsia="Calibri" w:cstheme="minorHAnsi"/>
          <w:color w:val="ED7D31"/>
          <w:lang w:bidi="en-US"/>
        </w:rPr>
      </w:pPr>
      <w:r w:rsidRPr="00193363">
        <w:rPr>
          <w:rFonts w:eastAsia="Calibri" w:cstheme="minorHAnsi"/>
          <w:color w:val="ED7D31"/>
          <w:lang w:bidi="en-US"/>
        </w:rPr>
        <w:lastRenderedPageBreak/>
        <w:t>Drop-in Center</w:t>
      </w:r>
    </w:p>
    <w:p w14:paraId="35676FF3" w14:textId="77777777" w:rsidR="00193363" w:rsidRPr="00193363" w:rsidRDefault="00193363" w:rsidP="00585F0F">
      <w:pPr>
        <w:keepNext/>
        <w:keepLines/>
        <w:spacing w:after="0" w:line="240" w:lineRule="auto"/>
        <w:rPr>
          <w:rFonts w:eastAsia="Calibri" w:cstheme="minorHAnsi"/>
          <w:bCs/>
          <w:lang w:bidi="en-US"/>
        </w:rPr>
      </w:pPr>
      <w:r w:rsidRPr="00193363">
        <w:rPr>
          <w:rFonts w:eastAsia="Calibri" w:cstheme="minorHAnsi"/>
          <w:bCs/>
          <w:lang w:bidi="en-US"/>
        </w:rPr>
        <w:t>Forty-five participants made a total of 1216 visits to the drop-in center. The number of visits per participant ranged from 1-68, with the average number of visits equal to 27. Some of the drop-in center activities/services include the following: snacks/dinner, homework help, mentoring, recreational exercise such as basketball and dancing, field trips, nutrition classes, music production classes, drumming classes, photography classes, “passport” activities in which youth learn about different cultures,  and resume building.</w:t>
      </w:r>
    </w:p>
    <w:p w14:paraId="5C3E7F36" w14:textId="77777777" w:rsidR="00193363" w:rsidRPr="00193363" w:rsidRDefault="00193363" w:rsidP="00193363">
      <w:pPr>
        <w:spacing w:after="0" w:line="240" w:lineRule="auto"/>
        <w:rPr>
          <w:rFonts w:eastAsia="Calibri" w:cstheme="minorHAnsi"/>
          <w:bCs/>
          <w:lang w:bidi="en-US"/>
        </w:rPr>
      </w:pPr>
    </w:p>
    <w:p w14:paraId="64A334D3" w14:textId="77777777" w:rsidR="00193363" w:rsidRPr="00193363" w:rsidRDefault="00193363" w:rsidP="00193363">
      <w:pPr>
        <w:keepNext/>
        <w:keepLines/>
        <w:spacing w:before="40" w:after="0" w:line="240" w:lineRule="auto"/>
        <w:outlineLvl w:val="1"/>
        <w:rPr>
          <w:rFonts w:eastAsia="Times New Roman" w:cstheme="minorHAnsi"/>
          <w:color w:val="2E74B5"/>
        </w:rPr>
      </w:pPr>
      <w:r w:rsidRPr="00193363">
        <w:rPr>
          <w:rFonts w:eastAsia="Times New Roman" w:cstheme="minorHAnsi"/>
          <w:color w:val="2E74B5"/>
        </w:rPr>
        <w:t>Evidence-Based Programs</w:t>
      </w:r>
    </w:p>
    <w:p w14:paraId="642E664E" w14:textId="2B238C55" w:rsidR="00193363" w:rsidRPr="00193363" w:rsidRDefault="00193363" w:rsidP="00193363">
      <w:pPr>
        <w:spacing w:after="0" w:line="240" w:lineRule="auto"/>
        <w:rPr>
          <w:rFonts w:eastAsia="Calibri" w:cstheme="minorHAnsi"/>
        </w:rPr>
      </w:pPr>
      <w:r w:rsidRPr="00193363">
        <w:rPr>
          <w:rFonts w:eastAsia="Calibri" w:cstheme="minorHAnsi"/>
        </w:rPr>
        <w:t xml:space="preserve">SSYP implemented three evidence-based programs. The figure below shows how many youth enrolled and completed each program. </w:t>
      </w:r>
    </w:p>
    <w:p w14:paraId="6317AE80" w14:textId="77777777" w:rsidR="00193363" w:rsidRPr="00193363" w:rsidRDefault="00193363" w:rsidP="00193363">
      <w:pPr>
        <w:keepNext/>
        <w:keepLines/>
        <w:spacing w:before="120" w:after="0"/>
        <w:rPr>
          <w:rFonts w:eastAsia="Calibri" w:cstheme="minorHAnsi"/>
          <w:b/>
          <w:color w:val="1F4E79"/>
        </w:rPr>
      </w:pPr>
      <w:r w:rsidRPr="00193363">
        <w:rPr>
          <w:rFonts w:eastAsia="Calibri" w:cstheme="minorHAnsi"/>
          <w:b/>
          <w:color w:val="1F4E79"/>
        </w:rPr>
        <w:t>Figure 4. Youth Program Enrollment &amp; Completion</w:t>
      </w:r>
    </w:p>
    <w:p w14:paraId="1E8E617C" w14:textId="77777777" w:rsidR="00193363" w:rsidRPr="00193363" w:rsidRDefault="00193363" w:rsidP="00193363">
      <w:pPr>
        <w:spacing w:after="0" w:line="240" w:lineRule="auto"/>
        <w:rPr>
          <w:rFonts w:eastAsia="Calibri" w:cstheme="minorHAnsi"/>
          <w:highlight w:val="yellow"/>
        </w:rPr>
      </w:pPr>
      <w:r w:rsidRPr="00193363">
        <w:rPr>
          <w:rFonts w:eastAsia="Times New Roman" w:cstheme="minorHAnsi"/>
          <w:b/>
          <w:noProof/>
          <w:color w:val="1F4E79"/>
          <w:highlight w:val="yellow"/>
        </w:rPr>
        <w:drawing>
          <wp:inline distT="0" distB="0" distL="0" distR="0" wp14:anchorId="2F5FBEB7" wp14:editId="07242C07">
            <wp:extent cx="6086475" cy="3200400"/>
            <wp:effectExtent l="0" t="0" r="0" b="0"/>
            <wp:docPr id="451" name="Chart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3E849F" w14:textId="77777777" w:rsidR="00193363" w:rsidRPr="00193363" w:rsidRDefault="00193363" w:rsidP="00193363">
      <w:pPr>
        <w:keepNext/>
        <w:keepLines/>
        <w:spacing w:before="40" w:after="120" w:line="259" w:lineRule="auto"/>
        <w:outlineLvl w:val="0"/>
        <w:rPr>
          <w:rFonts w:eastAsia="Times New Roman" w:cstheme="minorHAnsi"/>
          <w:color w:val="2E74B5"/>
        </w:rPr>
      </w:pPr>
      <w:r w:rsidRPr="00193363">
        <w:rPr>
          <w:rFonts w:eastAsia="Times New Roman" w:cstheme="minorHAnsi"/>
          <w:color w:val="2E74B5"/>
        </w:rPr>
        <w:t xml:space="preserve">Community Outreach/Engagement and Capacity Building </w:t>
      </w:r>
    </w:p>
    <w:p w14:paraId="1472B8E8" w14:textId="4C325AF9" w:rsidR="00193363" w:rsidRPr="00193363" w:rsidRDefault="00193363" w:rsidP="00193363">
      <w:pPr>
        <w:spacing w:after="120"/>
        <w:rPr>
          <w:rFonts w:eastAsia="Calibri" w:cstheme="minorHAnsi"/>
          <w:b/>
          <w:bCs/>
          <w:lang w:bidi="en-US"/>
        </w:rPr>
      </w:pPr>
      <w:r w:rsidRPr="00193363">
        <w:rPr>
          <w:rFonts w:eastAsia="Calibri" w:cstheme="minorHAnsi"/>
        </w:rPr>
        <w:t xml:space="preserve">Between the dates of Jan 1 and December 31, 2017, several community outreach events were held. During these events, SSYP staff distributed food, hygiene kits, condoms, and other incentives at various locations including: West End Mall, Ashby Train Station, English Avenue, area schools and libraries. See Table </w:t>
      </w:r>
      <w:r w:rsidR="00CE077F">
        <w:rPr>
          <w:rFonts w:eastAsia="Calibri" w:cstheme="minorHAnsi"/>
        </w:rPr>
        <w:t>1</w:t>
      </w:r>
      <w:r w:rsidRPr="00193363">
        <w:rPr>
          <w:rFonts w:eastAsia="Calibri" w:cstheme="minorHAnsi"/>
        </w:rPr>
        <w:t xml:space="preserve"> for a listing of these community outreach and engagement activities. </w:t>
      </w:r>
    </w:p>
    <w:p w14:paraId="102C5A66" w14:textId="2225782B" w:rsidR="00193363" w:rsidRPr="00193363" w:rsidRDefault="00193363" w:rsidP="00193363">
      <w:pPr>
        <w:widowControl w:val="0"/>
        <w:autoSpaceDE w:val="0"/>
        <w:autoSpaceDN w:val="0"/>
        <w:spacing w:after="120"/>
        <w:outlineLvl w:val="2"/>
        <w:rPr>
          <w:rFonts w:eastAsia="Calibri" w:cstheme="minorHAnsi"/>
          <w:b/>
          <w:bCs/>
          <w:lang w:bidi="en-US"/>
        </w:rPr>
      </w:pPr>
      <w:r w:rsidRPr="00193363">
        <w:rPr>
          <w:rFonts w:eastAsia="Calibri" w:cstheme="minorHAnsi"/>
          <w:b/>
          <w:bCs/>
          <w:lang w:bidi="en-US"/>
        </w:rPr>
        <w:t xml:space="preserve">Table </w:t>
      </w:r>
      <w:r w:rsidR="00CE077F">
        <w:rPr>
          <w:rFonts w:eastAsia="Calibri" w:cstheme="minorHAnsi"/>
          <w:b/>
          <w:bCs/>
          <w:lang w:bidi="en-US"/>
        </w:rPr>
        <w:t>1</w:t>
      </w:r>
      <w:r w:rsidRPr="00193363">
        <w:rPr>
          <w:rFonts w:eastAsia="Calibri" w:cstheme="minorHAnsi"/>
          <w:b/>
          <w:bCs/>
          <w:lang w:bidi="en-US"/>
        </w:rPr>
        <w:t>. Intervention Services Provided</w:t>
      </w:r>
    </w:p>
    <w:tbl>
      <w:tblPr>
        <w:tblStyle w:val="TableGrid2"/>
        <w:tblW w:w="0" w:type="auto"/>
        <w:tblLook w:val="04A0" w:firstRow="1" w:lastRow="0" w:firstColumn="1" w:lastColumn="0" w:noHBand="0" w:noVBand="1"/>
      </w:tblPr>
      <w:tblGrid>
        <w:gridCol w:w="4675"/>
        <w:gridCol w:w="4675"/>
      </w:tblGrid>
      <w:tr w:rsidR="00193363" w:rsidRPr="00193363" w14:paraId="6E94D72E" w14:textId="77777777" w:rsidTr="00193363">
        <w:tc>
          <w:tcPr>
            <w:tcW w:w="4675" w:type="dxa"/>
            <w:shd w:val="clear" w:color="auto" w:fill="1F4E79"/>
          </w:tcPr>
          <w:p w14:paraId="1094C4CA" w14:textId="77777777" w:rsidR="00193363" w:rsidRPr="00193363" w:rsidRDefault="00193363" w:rsidP="00193363">
            <w:pPr>
              <w:spacing w:after="0"/>
              <w:rPr>
                <w:rFonts w:eastAsia="Calibri" w:cstheme="minorHAnsi"/>
                <w:b/>
                <w:color w:val="FFFFFF"/>
                <w:sz w:val="22"/>
              </w:rPr>
            </w:pPr>
            <w:r w:rsidRPr="00193363">
              <w:rPr>
                <w:rFonts w:eastAsia="Calibri" w:cstheme="minorHAnsi"/>
                <w:b/>
                <w:color w:val="FFFFFF"/>
                <w:sz w:val="22"/>
              </w:rPr>
              <w:t>Activity</w:t>
            </w:r>
          </w:p>
        </w:tc>
        <w:tc>
          <w:tcPr>
            <w:tcW w:w="4675" w:type="dxa"/>
            <w:shd w:val="clear" w:color="auto" w:fill="1F4E79"/>
          </w:tcPr>
          <w:p w14:paraId="364E22AB" w14:textId="77777777" w:rsidR="00193363" w:rsidRPr="00193363" w:rsidRDefault="00193363" w:rsidP="00193363">
            <w:pPr>
              <w:spacing w:after="0"/>
              <w:jc w:val="center"/>
              <w:rPr>
                <w:rFonts w:eastAsia="Calibri" w:cstheme="minorHAnsi"/>
                <w:b/>
                <w:color w:val="FFFFFF"/>
                <w:sz w:val="22"/>
              </w:rPr>
            </w:pPr>
            <w:r w:rsidRPr="00193363">
              <w:rPr>
                <w:rFonts w:eastAsia="Calibri" w:cstheme="minorHAnsi"/>
                <w:b/>
                <w:color w:val="FFFFFF"/>
                <w:sz w:val="22"/>
              </w:rPr>
              <w:t>Frequency</w:t>
            </w:r>
          </w:p>
        </w:tc>
      </w:tr>
      <w:tr w:rsidR="00193363" w:rsidRPr="00193363" w14:paraId="0E43E7FF" w14:textId="77777777" w:rsidTr="00A401D3">
        <w:tc>
          <w:tcPr>
            <w:tcW w:w="4675" w:type="dxa"/>
          </w:tcPr>
          <w:p w14:paraId="5F0FF07A" w14:textId="77777777" w:rsidR="00193363" w:rsidRPr="00193363" w:rsidRDefault="00193363" w:rsidP="00193363">
            <w:pPr>
              <w:spacing w:after="0"/>
              <w:rPr>
                <w:rFonts w:eastAsia="Calibri" w:cstheme="minorHAnsi"/>
                <w:sz w:val="22"/>
              </w:rPr>
            </w:pPr>
            <w:r w:rsidRPr="00193363">
              <w:rPr>
                <w:rFonts w:eastAsia="Calibri" w:cstheme="minorHAnsi"/>
                <w:sz w:val="22"/>
              </w:rPr>
              <w:t>Condom distribution</w:t>
            </w:r>
          </w:p>
        </w:tc>
        <w:tc>
          <w:tcPr>
            <w:tcW w:w="4675" w:type="dxa"/>
          </w:tcPr>
          <w:p w14:paraId="01896066"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20</w:t>
            </w:r>
          </w:p>
        </w:tc>
      </w:tr>
      <w:tr w:rsidR="00193363" w:rsidRPr="00193363" w14:paraId="4037F564" w14:textId="77777777" w:rsidTr="00A401D3">
        <w:tc>
          <w:tcPr>
            <w:tcW w:w="4675" w:type="dxa"/>
          </w:tcPr>
          <w:p w14:paraId="5E27EB4A" w14:textId="77777777" w:rsidR="00193363" w:rsidRPr="00193363" w:rsidRDefault="00193363" w:rsidP="00193363">
            <w:pPr>
              <w:spacing w:after="0"/>
              <w:rPr>
                <w:rFonts w:eastAsia="Calibri" w:cstheme="minorHAnsi"/>
                <w:sz w:val="22"/>
              </w:rPr>
            </w:pPr>
            <w:r w:rsidRPr="00193363">
              <w:rPr>
                <w:rFonts w:eastAsia="Calibri" w:cstheme="minorHAnsi"/>
                <w:sz w:val="22"/>
              </w:rPr>
              <w:t>Youth council/intern activities</w:t>
            </w:r>
          </w:p>
        </w:tc>
        <w:tc>
          <w:tcPr>
            <w:tcW w:w="4675" w:type="dxa"/>
          </w:tcPr>
          <w:p w14:paraId="3C7A706E"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19</w:t>
            </w:r>
          </w:p>
        </w:tc>
      </w:tr>
      <w:tr w:rsidR="00193363" w:rsidRPr="00193363" w14:paraId="6D7BE432" w14:textId="77777777" w:rsidTr="00A401D3">
        <w:tc>
          <w:tcPr>
            <w:tcW w:w="4675" w:type="dxa"/>
          </w:tcPr>
          <w:p w14:paraId="3DCDD778" w14:textId="77777777" w:rsidR="00193363" w:rsidRPr="00193363" w:rsidRDefault="00193363" w:rsidP="00193363">
            <w:pPr>
              <w:spacing w:after="0"/>
              <w:rPr>
                <w:rFonts w:eastAsia="Calibri" w:cstheme="minorHAnsi"/>
                <w:sz w:val="22"/>
              </w:rPr>
            </w:pPr>
            <w:r w:rsidRPr="00193363">
              <w:rPr>
                <w:rFonts w:eastAsia="Calibri" w:cstheme="minorHAnsi"/>
                <w:sz w:val="22"/>
              </w:rPr>
              <w:t>Food distribution</w:t>
            </w:r>
          </w:p>
        </w:tc>
        <w:tc>
          <w:tcPr>
            <w:tcW w:w="4675" w:type="dxa"/>
          </w:tcPr>
          <w:p w14:paraId="1CCFDDC7"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11</w:t>
            </w:r>
          </w:p>
        </w:tc>
      </w:tr>
      <w:tr w:rsidR="00193363" w:rsidRPr="00193363" w14:paraId="0AC2C771" w14:textId="77777777" w:rsidTr="00A401D3">
        <w:tc>
          <w:tcPr>
            <w:tcW w:w="4675" w:type="dxa"/>
          </w:tcPr>
          <w:p w14:paraId="44EE4840" w14:textId="77777777" w:rsidR="00193363" w:rsidRPr="00193363" w:rsidRDefault="00193363" w:rsidP="00193363">
            <w:pPr>
              <w:spacing w:after="0"/>
              <w:rPr>
                <w:rFonts w:eastAsia="Calibri" w:cstheme="minorHAnsi"/>
                <w:sz w:val="22"/>
              </w:rPr>
            </w:pPr>
            <w:r w:rsidRPr="00193363">
              <w:rPr>
                <w:rFonts w:eastAsia="Calibri" w:cstheme="minorHAnsi"/>
                <w:sz w:val="22"/>
              </w:rPr>
              <w:t>Information dissemination/education</w:t>
            </w:r>
          </w:p>
        </w:tc>
        <w:tc>
          <w:tcPr>
            <w:tcW w:w="4675" w:type="dxa"/>
          </w:tcPr>
          <w:p w14:paraId="0456A349"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9</w:t>
            </w:r>
          </w:p>
        </w:tc>
      </w:tr>
      <w:tr w:rsidR="00193363" w:rsidRPr="00193363" w14:paraId="5E71F5A8" w14:textId="77777777" w:rsidTr="00A401D3">
        <w:tc>
          <w:tcPr>
            <w:tcW w:w="4675" w:type="dxa"/>
          </w:tcPr>
          <w:p w14:paraId="6D69FC0F" w14:textId="77777777" w:rsidR="00193363" w:rsidRPr="00193363" w:rsidRDefault="00193363" w:rsidP="00193363">
            <w:pPr>
              <w:spacing w:after="0"/>
              <w:rPr>
                <w:rFonts w:eastAsia="Calibri" w:cstheme="minorHAnsi"/>
                <w:sz w:val="22"/>
              </w:rPr>
            </w:pPr>
            <w:r w:rsidRPr="00193363">
              <w:rPr>
                <w:rFonts w:eastAsia="Calibri" w:cstheme="minorHAnsi"/>
                <w:sz w:val="22"/>
              </w:rPr>
              <w:t>Fundraising/volunteering at another event</w:t>
            </w:r>
          </w:p>
        </w:tc>
        <w:tc>
          <w:tcPr>
            <w:tcW w:w="4675" w:type="dxa"/>
          </w:tcPr>
          <w:p w14:paraId="15F7CCA1"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8</w:t>
            </w:r>
          </w:p>
        </w:tc>
      </w:tr>
      <w:tr w:rsidR="00193363" w:rsidRPr="00193363" w14:paraId="091CB2D7" w14:textId="77777777" w:rsidTr="00A401D3">
        <w:tc>
          <w:tcPr>
            <w:tcW w:w="4675" w:type="dxa"/>
          </w:tcPr>
          <w:p w14:paraId="54EA1E93" w14:textId="77777777" w:rsidR="00193363" w:rsidRPr="00193363" w:rsidRDefault="00193363" w:rsidP="00193363">
            <w:pPr>
              <w:spacing w:after="0"/>
              <w:rPr>
                <w:rFonts w:eastAsia="Calibri" w:cstheme="minorHAnsi"/>
                <w:sz w:val="22"/>
              </w:rPr>
            </w:pPr>
            <w:r w:rsidRPr="00193363">
              <w:rPr>
                <w:rFonts w:eastAsia="Calibri" w:cstheme="minorHAnsi"/>
                <w:sz w:val="22"/>
              </w:rPr>
              <w:t>Referrals/Testing referrals</w:t>
            </w:r>
          </w:p>
        </w:tc>
        <w:tc>
          <w:tcPr>
            <w:tcW w:w="4675" w:type="dxa"/>
          </w:tcPr>
          <w:p w14:paraId="34A3C080"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7</w:t>
            </w:r>
          </w:p>
        </w:tc>
      </w:tr>
      <w:tr w:rsidR="00193363" w:rsidRPr="00193363" w14:paraId="0168331C" w14:textId="77777777" w:rsidTr="00A401D3">
        <w:tc>
          <w:tcPr>
            <w:tcW w:w="4675" w:type="dxa"/>
          </w:tcPr>
          <w:p w14:paraId="2D058865" w14:textId="77777777" w:rsidR="00193363" w:rsidRPr="00193363" w:rsidRDefault="00193363" w:rsidP="00193363">
            <w:pPr>
              <w:spacing w:after="0"/>
              <w:rPr>
                <w:rFonts w:eastAsia="Calibri" w:cstheme="minorHAnsi"/>
                <w:sz w:val="22"/>
              </w:rPr>
            </w:pPr>
            <w:r w:rsidRPr="00193363">
              <w:rPr>
                <w:rFonts w:eastAsia="Calibri" w:cstheme="minorHAnsi"/>
                <w:sz w:val="22"/>
              </w:rPr>
              <w:lastRenderedPageBreak/>
              <w:t>Distribution of hygiene kits</w:t>
            </w:r>
          </w:p>
        </w:tc>
        <w:tc>
          <w:tcPr>
            <w:tcW w:w="4675" w:type="dxa"/>
          </w:tcPr>
          <w:p w14:paraId="484E5D90"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3</w:t>
            </w:r>
          </w:p>
        </w:tc>
      </w:tr>
      <w:tr w:rsidR="00193363" w:rsidRPr="00193363" w14:paraId="5F58E7EA" w14:textId="77777777" w:rsidTr="00A401D3">
        <w:tc>
          <w:tcPr>
            <w:tcW w:w="4675" w:type="dxa"/>
          </w:tcPr>
          <w:p w14:paraId="157D6BD4" w14:textId="77777777" w:rsidR="00193363" w:rsidRPr="00193363" w:rsidRDefault="00193363" w:rsidP="00193363">
            <w:pPr>
              <w:spacing w:after="0"/>
              <w:rPr>
                <w:rFonts w:eastAsia="Calibri" w:cstheme="minorHAnsi"/>
                <w:sz w:val="22"/>
              </w:rPr>
            </w:pPr>
            <w:r w:rsidRPr="00193363">
              <w:rPr>
                <w:rFonts w:eastAsia="Calibri" w:cstheme="minorHAnsi"/>
                <w:sz w:val="22"/>
              </w:rPr>
              <w:t>Hosted community outreach event</w:t>
            </w:r>
          </w:p>
        </w:tc>
        <w:tc>
          <w:tcPr>
            <w:tcW w:w="4675" w:type="dxa"/>
          </w:tcPr>
          <w:p w14:paraId="079E4F67"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3</w:t>
            </w:r>
          </w:p>
        </w:tc>
      </w:tr>
    </w:tbl>
    <w:p w14:paraId="70C5D4C2" w14:textId="77777777" w:rsidR="00193363" w:rsidRPr="00193363" w:rsidRDefault="00193363" w:rsidP="00193363">
      <w:pPr>
        <w:keepNext/>
        <w:keepLines/>
        <w:spacing w:before="120" w:after="0"/>
        <w:rPr>
          <w:rFonts w:eastAsia="Calibri" w:cstheme="minorHAnsi"/>
        </w:rPr>
      </w:pPr>
      <w:r w:rsidRPr="00193363">
        <w:rPr>
          <w:rFonts w:eastAsia="Calibri" w:cstheme="minorHAnsi"/>
        </w:rPr>
        <w:t>The percentage of youth (n = 308) and adult attendees (n = 378) attending the community outreach events is depicted in Figure 5 below.</w:t>
      </w:r>
    </w:p>
    <w:p w14:paraId="7080096A" w14:textId="77777777" w:rsidR="00193363" w:rsidRPr="00193363" w:rsidRDefault="00193363" w:rsidP="00193363">
      <w:pPr>
        <w:keepNext/>
        <w:keepLines/>
        <w:spacing w:before="120" w:after="0"/>
        <w:rPr>
          <w:rFonts w:eastAsia="Calibri" w:cstheme="minorHAnsi"/>
          <w:b/>
          <w:color w:val="1F4E79"/>
        </w:rPr>
      </w:pPr>
      <w:r w:rsidRPr="00193363">
        <w:rPr>
          <w:rFonts w:eastAsia="Calibri" w:cstheme="minorHAnsi"/>
          <w:b/>
          <w:color w:val="1F4E79"/>
        </w:rPr>
        <w:t>Figure 5. Youth &amp; Adult Attendees Present at Community Outreach Events</w:t>
      </w:r>
    </w:p>
    <w:p w14:paraId="7AF619EC" w14:textId="77777777" w:rsidR="00193363" w:rsidRPr="00193363" w:rsidRDefault="00193363" w:rsidP="00193363">
      <w:pPr>
        <w:keepNext/>
        <w:keepLines/>
        <w:spacing w:after="0" w:line="240" w:lineRule="auto"/>
        <w:rPr>
          <w:rFonts w:eastAsia="Calibri" w:cstheme="minorHAnsi"/>
          <w:highlight w:val="yellow"/>
        </w:rPr>
      </w:pPr>
    </w:p>
    <w:p w14:paraId="4E4D5AA9" w14:textId="77777777" w:rsidR="00193363" w:rsidRPr="00193363" w:rsidRDefault="00193363" w:rsidP="00193363">
      <w:pPr>
        <w:keepNext/>
        <w:keepLines/>
        <w:spacing w:after="0" w:line="240" w:lineRule="auto"/>
        <w:rPr>
          <w:rFonts w:eastAsia="Calibri" w:cstheme="minorHAnsi"/>
          <w:highlight w:val="yellow"/>
        </w:rPr>
      </w:pPr>
      <w:r w:rsidRPr="00193363">
        <w:rPr>
          <w:rFonts w:eastAsia="Calibri" w:cstheme="minorHAnsi"/>
          <w:noProof/>
          <w:highlight w:val="yellow"/>
        </w:rPr>
        <w:drawing>
          <wp:inline distT="0" distB="0" distL="0" distR="0" wp14:anchorId="11B9CF34" wp14:editId="204EBC62">
            <wp:extent cx="5772150" cy="1962150"/>
            <wp:effectExtent l="0" t="0" r="0" b="0"/>
            <wp:docPr id="455" name="Chart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9BDCD7" w14:textId="77777777" w:rsidR="00193363" w:rsidRPr="00193363" w:rsidRDefault="00193363" w:rsidP="00193363">
      <w:pPr>
        <w:spacing w:after="0" w:line="240" w:lineRule="auto"/>
        <w:rPr>
          <w:rFonts w:eastAsia="Calibri" w:cstheme="minorHAnsi"/>
          <w:highlight w:val="yellow"/>
        </w:rPr>
      </w:pPr>
    </w:p>
    <w:p w14:paraId="5E73D69B" w14:textId="7B8C94E1" w:rsidR="00193363" w:rsidRPr="00193363" w:rsidRDefault="00193363" w:rsidP="00193363">
      <w:pPr>
        <w:spacing w:after="0" w:line="240" w:lineRule="auto"/>
        <w:rPr>
          <w:rFonts w:eastAsia="Calibri" w:cstheme="minorHAnsi"/>
        </w:rPr>
      </w:pPr>
      <w:r w:rsidRPr="00193363">
        <w:rPr>
          <w:rFonts w:eastAsia="Calibri" w:cstheme="minorHAnsi"/>
        </w:rPr>
        <w:t xml:space="preserve">Table </w:t>
      </w:r>
      <w:r w:rsidR="00CE077F">
        <w:rPr>
          <w:rFonts w:eastAsia="Calibri" w:cstheme="minorHAnsi"/>
        </w:rPr>
        <w:t>2</w:t>
      </w:r>
      <w:r w:rsidRPr="00193363">
        <w:rPr>
          <w:rFonts w:eastAsia="Calibri" w:cstheme="minorHAnsi"/>
        </w:rPr>
        <w:t xml:space="preserve"> below depicts the types and number of materials distributed at the community outreach events listed above.</w:t>
      </w:r>
      <w:r w:rsidRPr="00193363">
        <w:rPr>
          <w:rFonts w:eastAsia="Calibri" w:cstheme="minorHAnsi"/>
        </w:rPr>
        <w:br/>
      </w:r>
    </w:p>
    <w:p w14:paraId="1CFCE27C" w14:textId="16F5055A" w:rsidR="00193363" w:rsidRPr="00193363" w:rsidRDefault="00193363" w:rsidP="00193363">
      <w:pPr>
        <w:spacing w:after="0"/>
        <w:rPr>
          <w:rFonts w:eastAsia="Calibri" w:cstheme="minorHAnsi"/>
          <w:b/>
          <w:color w:val="1F3864"/>
        </w:rPr>
      </w:pPr>
      <w:r w:rsidRPr="00193363">
        <w:rPr>
          <w:rFonts w:eastAsia="Calibri" w:cstheme="minorHAnsi"/>
          <w:b/>
          <w:color w:val="1F3864"/>
        </w:rPr>
        <w:t xml:space="preserve">Table </w:t>
      </w:r>
      <w:r w:rsidR="00CE077F">
        <w:rPr>
          <w:rFonts w:eastAsia="Calibri" w:cstheme="minorHAnsi"/>
          <w:b/>
          <w:color w:val="1F3864"/>
        </w:rPr>
        <w:t>2</w:t>
      </w:r>
      <w:r w:rsidRPr="00193363">
        <w:rPr>
          <w:rFonts w:eastAsia="Calibri" w:cstheme="minorHAnsi"/>
          <w:b/>
          <w:color w:val="1F3864"/>
        </w:rPr>
        <w:t>. Materials Distributed at Community Outreach Events</w:t>
      </w:r>
    </w:p>
    <w:tbl>
      <w:tblPr>
        <w:tblStyle w:val="TableGrid2"/>
        <w:tblW w:w="0" w:type="auto"/>
        <w:tblLook w:val="04A0" w:firstRow="1" w:lastRow="0" w:firstColumn="1" w:lastColumn="0" w:noHBand="0" w:noVBand="1"/>
      </w:tblPr>
      <w:tblGrid>
        <w:gridCol w:w="4675"/>
        <w:gridCol w:w="4675"/>
      </w:tblGrid>
      <w:tr w:rsidR="00193363" w:rsidRPr="00193363" w14:paraId="3799528C" w14:textId="77777777" w:rsidTr="00193363">
        <w:tc>
          <w:tcPr>
            <w:tcW w:w="4675" w:type="dxa"/>
            <w:shd w:val="clear" w:color="auto" w:fill="1F4E79"/>
          </w:tcPr>
          <w:p w14:paraId="2C897149" w14:textId="77777777" w:rsidR="00193363" w:rsidRPr="00193363" w:rsidRDefault="00193363" w:rsidP="00193363">
            <w:pPr>
              <w:spacing w:after="0"/>
              <w:rPr>
                <w:rFonts w:eastAsia="Calibri" w:cstheme="minorHAnsi"/>
                <w:b/>
                <w:color w:val="FFFFFF"/>
                <w:sz w:val="22"/>
              </w:rPr>
            </w:pPr>
            <w:r w:rsidRPr="00193363">
              <w:rPr>
                <w:rFonts w:eastAsia="Calibri" w:cstheme="minorHAnsi"/>
                <w:b/>
                <w:color w:val="FFFFFF"/>
                <w:sz w:val="22"/>
              </w:rPr>
              <w:t>Material</w:t>
            </w:r>
          </w:p>
        </w:tc>
        <w:tc>
          <w:tcPr>
            <w:tcW w:w="4675" w:type="dxa"/>
            <w:shd w:val="clear" w:color="auto" w:fill="1F4E79"/>
          </w:tcPr>
          <w:p w14:paraId="2FCBC6E0" w14:textId="77777777" w:rsidR="00193363" w:rsidRPr="00193363" w:rsidRDefault="00193363" w:rsidP="00193363">
            <w:pPr>
              <w:spacing w:after="0"/>
              <w:jc w:val="center"/>
              <w:rPr>
                <w:rFonts w:eastAsia="Calibri" w:cstheme="minorHAnsi"/>
                <w:b/>
                <w:color w:val="FFFFFF"/>
                <w:sz w:val="22"/>
              </w:rPr>
            </w:pPr>
            <w:r w:rsidRPr="00193363">
              <w:rPr>
                <w:rFonts w:eastAsia="Calibri" w:cstheme="minorHAnsi"/>
                <w:b/>
                <w:color w:val="FFFFFF"/>
                <w:sz w:val="22"/>
              </w:rPr>
              <w:t>Number Distributed</w:t>
            </w:r>
          </w:p>
        </w:tc>
      </w:tr>
      <w:tr w:rsidR="00193363" w:rsidRPr="00193363" w14:paraId="30AC0FA1" w14:textId="77777777" w:rsidTr="00A401D3">
        <w:tc>
          <w:tcPr>
            <w:tcW w:w="4675" w:type="dxa"/>
          </w:tcPr>
          <w:p w14:paraId="1000902A" w14:textId="77777777" w:rsidR="00193363" w:rsidRPr="00193363" w:rsidRDefault="00193363" w:rsidP="00193363">
            <w:pPr>
              <w:spacing w:after="0"/>
              <w:rPr>
                <w:rFonts w:eastAsia="Calibri" w:cstheme="minorHAnsi"/>
                <w:sz w:val="22"/>
              </w:rPr>
            </w:pPr>
            <w:r w:rsidRPr="00193363">
              <w:rPr>
                <w:rFonts w:eastAsia="Calibri" w:cstheme="minorHAnsi"/>
                <w:sz w:val="22"/>
              </w:rPr>
              <w:t>Business Cards</w:t>
            </w:r>
          </w:p>
        </w:tc>
        <w:tc>
          <w:tcPr>
            <w:tcW w:w="4675" w:type="dxa"/>
          </w:tcPr>
          <w:p w14:paraId="00A763CB"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303</w:t>
            </w:r>
          </w:p>
        </w:tc>
      </w:tr>
      <w:tr w:rsidR="00193363" w:rsidRPr="00193363" w14:paraId="175EDD0F" w14:textId="77777777" w:rsidTr="00A401D3">
        <w:tc>
          <w:tcPr>
            <w:tcW w:w="4675" w:type="dxa"/>
          </w:tcPr>
          <w:p w14:paraId="53E065C3" w14:textId="77777777" w:rsidR="00193363" w:rsidRPr="00193363" w:rsidRDefault="00193363" w:rsidP="00193363">
            <w:pPr>
              <w:spacing w:after="0"/>
              <w:rPr>
                <w:rFonts w:eastAsia="Calibri" w:cstheme="minorHAnsi"/>
                <w:sz w:val="22"/>
              </w:rPr>
            </w:pPr>
            <w:r w:rsidRPr="00193363">
              <w:rPr>
                <w:rFonts w:eastAsia="Calibri" w:cstheme="minorHAnsi"/>
                <w:sz w:val="22"/>
              </w:rPr>
              <w:t>Condoms</w:t>
            </w:r>
          </w:p>
        </w:tc>
        <w:tc>
          <w:tcPr>
            <w:tcW w:w="4675" w:type="dxa"/>
          </w:tcPr>
          <w:p w14:paraId="62ACB9C0"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18,108</w:t>
            </w:r>
          </w:p>
        </w:tc>
      </w:tr>
      <w:tr w:rsidR="00193363" w:rsidRPr="00193363" w14:paraId="2241C177" w14:textId="77777777" w:rsidTr="00A401D3">
        <w:tc>
          <w:tcPr>
            <w:tcW w:w="4675" w:type="dxa"/>
          </w:tcPr>
          <w:p w14:paraId="2D5347EA" w14:textId="77777777" w:rsidR="00193363" w:rsidRPr="00193363" w:rsidRDefault="00193363" w:rsidP="00193363">
            <w:pPr>
              <w:spacing w:after="0"/>
              <w:rPr>
                <w:rFonts w:eastAsia="Calibri" w:cstheme="minorHAnsi"/>
                <w:sz w:val="22"/>
              </w:rPr>
            </w:pPr>
            <w:r w:rsidRPr="00193363">
              <w:rPr>
                <w:rFonts w:eastAsia="Calibri" w:cstheme="minorHAnsi"/>
                <w:sz w:val="22"/>
              </w:rPr>
              <w:t>Fliers</w:t>
            </w:r>
          </w:p>
        </w:tc>
        <w:tc>
          <w:tcPr>
            <w:tcW w:w="4675" w:type="dxa"/>
          </w:tcPr>
          <w:p w14:paraId="6EFAB013"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1,144</w:t>
            </w:r>
          </w:p>
        </w:tc>
      </w:tr>
      <w:tr w:rsidR="00193363" w:rsidRPr="00193363" w14:paraId="09B2B657" w14:textId="77777777" w:rsidTr="00A401D3">
        <w:tc>
          <w:tcPr>
            <w:tcW w:w="4675" w:type="dxa"/>
          </w:tcPr>
          <w:p w14:paraId="4FA7AFBF" w14:textId="77777777" w:rsidR="00193363" w:rsidRPr="00193363" w:rsidRDefault="00193363" w:rsidP="00193363">
            <w:pPr>
              <w:spacing w:after="0"/>
              <w:rPr>
                <w:rFonts w:eastAsia="Calibri" w:cstheme="minorHAnsi"/>
                <w:sz w:val="22"/>
              </w:rPr>
            </w:pPr>
            <w:r w:rsidRPr="00193363">
              <w:rPr>
                <w:rFonts w:eastAsia="Calibri" w:cstheme="minorHAnsi"/>
                <w:sz w:val="22"/>
              </w:rPr>
              <w:t>Other</w:t>
            </w:r>
          </w:p>
        </w:tc>
        <w:tc>
          <w:tcPr>
            <w:tcW w:w="4675" w:type="dxa"/>
          </w:tcPr>
          <w:p w14:paraId="6F0E1118" w14:textId="77777777" w:rsidR="00193363" w:rsidRPr="00193363" w:rsidRDefault="00193363" w:rsidP="00193363">
            <w:pPr>
              <w:spacing w:after="0"/>
              <w:jc w:val="center"/>
              <w:rPr>
                <w:rFonts w:eastAsia="Calibri" w:cstheme="minorHAnsi"/>
                <w:sz w:val="22"/>
              </w:rPr>
            </w:pPr>
            <w:r w:rsidRPr="00193363">
              <w:rPr>
                <w:rFonts w:eastAsia="Calibri" w:cstheme="minorHAnsi"/>
                <w:sz w:val="22"/>
              </w:rPr>
              <w:t>835</w:t>
            </w:r>
          </w:p>
        </w:tc>
      </w:tr>
    </w:tbl>
    <w:p w14:paraId="2809DB62" w14:textId="77777777" w:rsidR="00193363" w:rsidRPr="00193363" w:rsidRDefault="00193363" w:rsidP="00193363">
      <w:pPr>
        <w:spacing w:after="0"/>
        <w:rPr>
          <w:rFonts w:eastAsia="Calibri" w:cstheme="minorHAnsi"/>
          <w:highlight w:val="yellow"/>
        </w:rPr>
      </w:pPr>
    </w:p>
    <w:p w14:paraId="2E072955" w14:textId="77777777" w:rsidR="00193363" w:rsidRDefault="00193363">
      <w:pPr>
        <w:spacing w:after="160" w:line="259" w:lineRule="auto"/>
        <w:rPr>
          <w:rFonts w:cstheme="minorHAnsi"/>
        </w:rPr>
      </w:pPr>
      <w:r>
        <w:rPr>
          <w:rFonts w:cstheme="minorHAnsi"/>
        </w:rPr>
        <w:br w:type="page"/>
      </w:r>
    </w:p>
    <w:p w14:paraId="074B7454" w14:textId="173381CC" w:rsidR="00703047" w:rsidRPr="00193363" w:rsidRDefault="00C80908" w:rsidP="00703047">
      <w:pPr>
        <w:rPr>
          <w:rFonts w:cstheme="minorHAnsi"/>
        </w:rPr>
      </w:pPr>
      <w:r w:rsidRPr="00193363">
        <w:rPr>
          <w:rFonts w:cstheme="minorHAnsi"/>
        </w:rPr>
        <w:lastRenderedPageBreak/>
        <w:t>In 201</w:t>
      </w:r>
      <w:r w:rsidR="00193363">
        <w:rPr>
          <w:rFonts w:cstheme="minorHAnsi"/>
        </w:rPr>
        <w:t>7</w:t>
      </w:r>
      <w:r w:rsidR="00703047" w:rsidRPr="00193363">
        <w:rPr>
          <w:rFonts w:cstheme="minorHAnsi"/>
        </w:rPr>
        <w:t>, across all programming initiatives, SSYP has made an impact. Below is a summation of this impact.</w:t>
      </w:r>
    </w:p>
    <w:p w14:paraId="6C7352AA" w14:textId="0BD611A3" w:rsidR="00703047" w:rsidRPr="00193363" w:rsidRDefault="00703047" w:rsidP="00703047">
      <w:pPr>
        <w:rPr>
          <w:rFonts w:cstheme="minorHAnsi"/>
        </w:rPr>
      </w:pPr>
      <w:r w:rsidRPr="00193363">
        <w:rPr>
          <w:rFonts w:cstheme="minorHAnsi"/>
        </w:rPr>
        <w:t>Although Street Smart Youth Project serves various communities throughout Georgia, our work is concentrated in a few of the most under- resourced area codes. Most of the communities we serve experience significant disparity in socio- eco</w:t>
      </w:r>
      <w:r w:rsidR="003D01BB" w:rsidRPr="00193363">
        <w:rPr>
          <w:rFonts w:cstheme="minorHAnsi"/>
        </w:rPr>
        <w:t xml:space="preserve">nomic indicators. The </w:t>
      </w:r>
      <w:r w:rsidRPr="00193363">
        <w:rPr>
          <w:rFonts w:cstheme="minorHAnsi"/>
        </w:rPr>
        <w:t>graphs</w:t>
      </w:r>
      <w:r w:rsidR="003D01BB" w:rsidRPr="00193363">
        <w:rPr>
          <w:rFonts w:cstheme="minorHAnsi"/>
        </w:rPr>
        <w:t xml:space="preserve"> below</w:t>
      </w:r>
      <w:r w:rsidRPr="00193363">
        <w:rPr>
          <w:rFonts w:cstheme="minorHAnsi"/>
        </w:rPr>
        <w:t xml:space="preserve"> depict socioeconomic data for residents of zip codes served by SSYP in comparison to the state of Georgia. Residents of these geographic areas tend</w:t>
      </w:r>
      <w:r w:rsidR="00C80908" w:rsidRPr="00193363">
        <w:rPr>
          <w:rFonts w:cstheme="minorHAnsi"/>
        </w:rPr>
        <w:t xml:space="preserve"> to have lower median incomes, </w:t>
      </w:r>
      <w:r w:rsidRPr="00193363">
        <w:rPr>
          <w:rFonts w:cstheme="minorHAnsi"/>
        </w:rPr>
        <w:t>larger percentages of households with incomes below the poverty level and larger proportions of households receiving food stamps.</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420"/>
        <w:gridCol w:w="1530"/>
        <w:gridCol w:w="1078"/>
        <w:gridCol w:w="1078"/>
        <w:gridCol w:w="1078"/>
        <w:gridCol w:w="1078"/>
        <w:gridCol w:w="1078"/>
      </w:tblGrid>
      <w:tr w:rsidR="00193363" w:rsidRPr="00193363" w14:paraId="0F5E661F" w14:textId="77777777" w:rsidTr="00193363">
        <w:tc>
          <w:tcPr>
            <w:tcW w:w="2420" w:type="dxa"/>
            <w:tcBorders>
              <w:top w:val="single" w:sz="8" w:space="0" w:color="FFFFFF"/>
              <w:left w:val="single" w:sz="8" w:space="0" w:color="FFFFFF"/>
              <w:bottom w:val="single" w:sz="8" w:space="0" w:color="FFFFFF"/>
              <w:right w:val="nil"/>
            </w:tcBorders>
            <w:shd w:val="clear" w:color="auto" w:fill="FFC000"/>
            <w:tcMar>
              <w:top w:w="0" w:type="dxa"/>
              <w:left w:w="108" w:type="dxa"/>
              <w:bottom w:w="0" w:type="dxa"/>
              <w:right w:w="108" w:type="dxa"/>
            </w:tcMar>
            <w:hideMark/>
          </w:tcPr>
          <w:p w14:paraId="76D270A5" w14:textId="77777777" w:rsidR="00193363" w:rsidRPr="00193363" w:rsidRDefault="00193363" w:rsidP="00193363">
            <w:pPr>
              <w:rPr>
                <w:rFonts w:cstheme="minorHAnsi"/>
              </w:rPr>
            </w:pPr>
            <w:r w:rsidRPr="00193363">
              <w:rPr>
                <w:rFonts w:cstheme="minorHAnsi"/>
              </w:rPr>
              <w:t> </w:t>
            </w:r>
          </w:p>
        </w:tc>
        <w:tc>
          <w:tcPr>
            <w:tcW w:w="1530" w:type="dxa"/>
            <w:tcBorders>
              <w:top w:val="single" w:sz="8" w:space="0" w:color="FFFFFF"/>
              <w:left w:val="nil"/>
              <w:bottom w:val="single" w:sz="8" w:space="0" w:color="FFFFFF"/>
              <w:right w:val="nil"/>
            </w:tcBorders>
            <w:shd w:val="clear" w:color="auto" w:fill="FFC000"/>
            <w:tcMar>
              <w:top w:w="0" w:type="dxa"/>
              <w:left w:w="108" w:type="dxa"/>
              <w:bottom w:w="0" w:type="dxa"/>
              <w:right w:w="108" w:type="dxa"/>
            </w:tcMar>
            <w:hideMark/>
          </w:tcPr>
          <w:p w14:paraId="02386B1F" w14:textId="77777777" w:rsidR="00193363" w:rsidRPr="00193363" w:rsidRDefault="00193363" w:rsidP="00193363">
            <w:pPr>
              <w:rPr>
                <w:rFonts w:cstheme="minorHAnsi"/>
                <w:b/>
              </w:rPr>
            </w:pPr>
            <w:r w:rsidRPr="00193363">
              <w:rPr>
                <w:rFonts w:cstheme="minorHAnsi"/>
                <w:b/>
              </w:rPr>
              <w:t>Georgia</w:t>
            </w:r>
          </w:p>
        </w:tc>
        <w:tc>
          <w:tcPr>
            <w:tcW w:w="1078" w:type="dxa"/>
            <w:tcBorders>
              <w:top w:val="single" w:sz="8" w:space="0" w:color="FFFFFF"/>
              <w:left w:val="nil"/>
              <w:bottom w:val="single" w:sz="8" w:space="0" w:color="FFFFFF"/>
              <w:right w:val="nil"/>
            </w:tcBorders>
            <w:shd w:val="clear" w:color="auto" w:fill="FFC000"/>
            <w:tcMar>
              <w:top w:w="0" w:type="dxa"/>
              <w:left w:w="108" w:type="dxa"/>
              <w:bottom w:w="0" w:type="dxa"/>
              <w:right w:w="108" w:type="dxa"/>
            </w:tcMar>
            <w:hideMark/>
          </w:tcPr>
          <w:p w14:paraId="49723D6F" w14:textId="77777777" w:rsidR="00193363" w:rsidRPr="00193363" w:rsidRDefault="00193363" w:rsidP="00193363">
            <w:pPr>
              <w:rPr>
                <w:rFonts w:cstheme="minorHAnsi"/>
              </w:rPr>
            </w:pPr>
            <w:r w:rsidRPr="00193363">
              <w:rPr>
                <w:rFonts w:cstheme="minorHAnsi"/>
                <w:b/>
                <w:bCs/>
              </w:rPr>
              <w:t>30312</w:t>
            </w:r>
          </w:p>
        </w:tc>
        <w:tc>
          <w:tcPr>
            <w:tcW w:w="1078" w:type="dxa"/>
            <w:tcBorders>
              <w:top w:val="single" w:sz="8" w:space="0" w:color="FFFFFF"/>
              <w:left w:val="nil"/>
              <w:bottom w:val="single" w:sz="8" w:space="0" w:color="FFFFFF"/>
              <w:right w:val="nil"/>
            </w:tcBorders>
            <w:shd w:val="clear" w:color="auto" w:fill="FFC000"/>
            <w:tcMar>
              <w:top w:w="0" w:type="dxa"/>
              <w:left w:w="108" w:type="dxa"/>
              <w:bottom w:w="0" w:type="dxa"/>
              <w:right w:w="108" w:type="dxa"/>
            </w:tcMar>
            <w:hideMark/>
          </w:tcPr>
          <w:p w14:paraId="3EAB9582" w14:textId="77777777" w:rsidR="00193363" w:rsidRPr="00193363" w:rsidRDefault="00193363" w:rsidP="00193363">
            <w:pPr>
              <w:rPr>
                <w:rFonts w:cstheme="minorHAnsi"/>
              </w:rPr>
            </w:pPr>
            <w:r w:rsidRPr="00193363">
              <w:rPr>
                <w:rFonts w:cstheme="minorHAnsi"/>
                <w:b/>
                <w:bCs/>
              </w:rPr>
              <w:t>30314</w:t>
            </w:r>
          </w:p>
        </w:tc>
        <w:tc>
          <w:tcPr>
            <w:tcW w:w="1078" w:type="dxa"/>
            <w:tcBorders>
              <w:top w:val="single" w:sz="8" w:space="0" w:color="FFFFFF"/>
              <w:left w:val="nil"/>
              <w:bottom w:val="single" w:sz="8" w:space="0" w:color="FFFFFF"/>
              <w:right w:val="nil"/>
            </w:tcBorders>
            <w:shd w:val="clear" w:color="auto" w:fill="FFC000"/>
            <w:tcMar>
              <w:top w:w="0" w:type="dxa"/>
              <w:left w:w="108" w:type="dxa"/>
              <w:bottom w:w="0" w:type="dxa"/>
              <w:right w:w="108" w:type="dxa"/>
            </w:tcMar>
            <w:hideMark/>
          </w:tcPr>
          <w:p w14:paraId="57935FF6" w14:textId="77777777" w:rsidR="00193363" w:rsidRPr="00193363" w:rsidRDefault="00193363" w:rsidP="00193363">
            <w:pPr>
              <w:rPr>
                <w:rFonts w:cstheme="minorHAnsi"/>
              </w:rPr>
            </w:pPr>
            <w:r w:rsidRPr="00193363">
              <w:rPr>
                <w:rFonts w:cstheme="minorHAnsi"/>
                <w:b/>
                <w:bCs/>
              </w:rPr>
              <w:t>30317</w:t>
            </w:r>
          </w:p>
        </w:tc>
        <w:tc>
          <w:tcPr>
            <w:tcW w:w="1078" w:type="dxa"/>
            <w:tcBorders>
              <w:top w:val="single" w:sz="8" w:space="0" w:color="FFFFFF"/>
              <w:left w:val="nil"/>
              <w:bottom w:val="single" w:sz="8" w:space="0" w:color="FFFFFF"/>
              <w:right w:val="nil"/>
            </w:tcBorders>
            <w:shd w:val="clear" w:color="auto" w:fill="FFC000"/>
            <w:tcMar>
              <w:top w:w="0" w:type="dxa"/>
              <w:left w:w="108" w:type="dxa"/>
              <w:bottom w:w="0" w:type="dxa"/>
              <w:right w:w="108" w:type="dxa"/>
            </w:tcMar>
            <w:hideMark/>
          </w:tcPr>
          <w:p w14:paraId="4BD54200" w14:textId="77777777" w:rsidR="00193363" w:rsidRPr="00193363" w:rsidRDefault="00193363" w:rsidP="00193363">
            <w:pPr>
              <w:rPr>
                <w:rFonts w:cstheme="minorHAnsi"/>
              </w:rPr>
            </w:pPr>
            <w:r w:rsidRPr="00193363">
              <w:rPr>
                <w:rFonts w:cstheme="minorHAnsi"/>
                <w:b/>
                <w:bCs/>
              </w:rPr>
              <w:t>30318</w:t>
            </w:r>
          </w:p>
        </w:tc>
        <w:tc>
          <w:tcPr>
            <w:tcW w:w="1078" w:type="dxa"/>
            <w:tcBorders>
              <w:top w:val="single" w:sz="8" w:space="0" w:color="FFFFFF"/>
              <w:left w:val="nil"/>
              <w:bottom w:val="single" w:sz="8" w:space="0" w:color="FFFFFF"/>
              <w:right w:val="single" w:sz="8" w:space="0" w:color="FFFFFF"/>
            </w:tcBorders>
            <w:shd w:val="clear" w:color="auto" w:fill="FFC000"/>
            <w:tcMar>
              <w:top w:w="0" w:type="dxa"/>
              <w:left w:w="108" w:type="dxa"/>
              <w:bottom w:w="0" w:type="dxa"/>
              <w:right w:w="108" w:type="dxa"/>
            </w:tcMar>
            <w:hideMark/>
          </w:tcPr>
          <w:p w14:paraId="4F51C77A" w14:textId="77777777" w:rsidR="00193363" w:rsidRPr="00193363" w:rsidRDefault="00193363" w:rsidP="00193363">
            <w:pPr>
              <w:rPr>
                <w:rFonts w:cstheme="minorHAnsi"/>
              </w:rPr>
            </w:pPr>
            <w:r w:rsidRPr="00193363">
              <w:rPr>
                <w:rFonts w:cstheme="minorHAnsi"/>
                <w:b/>
                <w:bCs/>
              </w:rPr>
              <w:t>30331</w:t>
            </w:r>
          </w:p>
        </w:tc>
      </w:tr>
      <w:tr w:rsidR="00193363" w:rsidRPr="00193363" w14:paraId="3CAF8216"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33805BB9" w14:textId="77777777" w:rsidR="00193363" w:rsidRPr="00193363" w:rsidRDefault="00193363" w:rsidP="00193363">
            <w:pPr>
              <w:rPr>
                <w:rFonts w:cstheme="minorHAnsi"/>
              </w:rPr>
            </w:pPr>
            <w:r w:rsidRPr="00193363">
              <w:rPr>
                <w:rFonts w:cstheme="minorHAnsi"/>
                <w:b/>
                <w:bCs/>
              </w:rPr>
              <w:t>Population (2016)</w:t>
            </w:r>
          </w:p>
        </w:tc>
        <w:tc>
          <w:tcPr>
            <w:tcW w:w="1530"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5E4BA557" w14:textId="77777777" w:rsidR="00193363" w:rsidRPr="00193363" w:rsidRDefault="00193363" w:rsidP="00193363">
            <w:pPr>
              <w:rPr>
                <w:rFonts w:cstheme="minorHAnsi"/>
              </w:rPr>
            </w:pPr>
            <w:r w:rsidRPr="00193363">
              <w:rPr>
                <w:rFonts w:cstheme="minorHAnsi"/>
              </w:rPr>
              <w:t>10,099,320</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1712F258" w14:textId="77777777" w:rsidR="00193363" w:rsidRPr="00193363" w:rsidRDefault="00193363" w:rsidP="00193363">
            <w:pPr>
              <w:rPr>
                <w:rFonts w:cstheme="minorHAnsi"/>
              </w:rPr>
            </w:pPr>
            <w:r w:rsidRPr="00193363">
              <w:rPr>
                <w:rFonts w:cstheme="minorHAnsi"/>
              </w:rPr>
              <w:t>22,786</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4CE7D77C" w14:textId="77777777" w:rsidR="00193363" w:rsidRPr="00193363" w:rsidRDefault="00193363" w:rsidP="00193363">
            <w:pPr>
              <w:rPr>
                <w:rFonts w:cstheme="minorHAnsi"/>
              </w:rPr>
            </w:pPr>
            <w:r w:rsidRPr="00193363">
              <w:rPr>
                <w:rFonts w:cstheme="minorHAnsi"/>
              </w:rPr>
              <w:t>23,786</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75428EC1" w14:textId="77777777" w:rsidR="00193363" w:rsidRPr="00193363" w:rsidRDefault="00193363" w:rsidP="00193363">
            <w:pPr>
              <w:rPr>
                <w:rFonts w:cstheme="minorHAnsi"/>
              </w:rPr>
            </w:pPr>
            <w:r w:rsidRPr="00193363">
              <w:rPr>
                <w:rFonts w:cstheme="minorHAnsi"/>
              </w:rPr>
              <w:t>13,265</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156B72BC" w14:textId="77777777" w:rsidR="00193363" w:rsidRPr="00193363" w:rsidRDefault="00193363" w:rsidP="00193363">
            <w:pPr>
              <w:rPr>
                <w:rFonts w:cstheme="minorHAnsi"/>
              </w:rPr>
            </w:pPr>
            <w:r w:rsidRPr="00193363">
              <w:rPr>
                <w:rFonts w:cstheme="minorHAnsi"/>
              </w:rPr>
              <w:t>49,983</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561D4A12" w14:textId="77777777" w:rsidR="00193363" w:rsidRPr="00193363" w:rsidRDefault="00193363" w:rsidP="00193363">
            <w:pPr>
              <w:rPr>
                <w:rFonts w:cstheme="minorHAnsi"/>
              </w:rPr>
            </w:pPr>
            <w:r w:rsidRPr="00193363">
              <w:rPr>
                <w:rFonts w:cstheme="minorHAnsi"/>
              </w:rPr>
              <w:t>64,406</w:t>
            </w:r>
          </w:p>
        </w:tc>
      </w:tr>
      <w:tr w:rsidR="00193363" w:rsidRPr="00193363" w14:paraId="4A42BCAA"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341E4EE6" w14:textId="77777777" w:rsidR="00193363" w:rsidRPr="00193363" w:rsidRDefault="00193363" w:rsidP="00193363">
            <w:pPr>
              <w:rPr>
                <w:rFonts w:cstheme="minorHAnsi"/>
              </w:rPr>
            </w:pPr>
            <w:r w:rsidRPr="00193363">
              <w:rPr>
                <w:rFonts w:cstheme="minorHAnsi"/>
                <w:b/>
                <w:bCs/>
              </w:rPr>
              <w:t>Median Household Income (2016)</w:t>
            </w:r>
          </w:p>
        </w:tc>
        <w:tc>
          <w:tcPr>
            <w:tcW w:w="1530"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09C59D48" w14:textId="77777777" w:rsidR="00193363" w:rsidRPr="00193363" w:rsidRDefault="00193363" w:rsidP="00193363">
            <w:pPr>
              <w:rPr>
                <w:rFonts w:cstheme="minorHAnsi"/>
              </w:rPr>
            </w:pPr>
            <w:r w:rsidRPr="00193363">
              <w:rPr>
                <w:rFonts w:cstheme="minorHAnsi"/>
              </w:rPr>
              <w:t>55,322</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7D2F90D2" w14:textId="77777777" w:rsidR="00193363" w:rsidRPr="00193363" w:rsidRDefault="00193363" w:rsidP="00193363">
            <w:pPr>
              <w:rPr>
                <w:rFonts w:cstheme="minorHAnsi"/>
              </w:rPr>
            </w:pPr>
            <w:r w:rsidRPr="00193363">
              <w:rPr>
                <w:rFonts w:cstheme="minorHAnsi"/>
              </w:rPr>
              <w:t>43,067</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24D3B4F0" w14:textId="77777777" w:rsidR="00193363" w:rsidRPr="00193363" w:rsidRDefault="00193363" w:rsidP="00193363">
            <w:pPr>
              <w:rPr>
                <w:rFonts w:cstheme="minorHAnsi"/>
              </w:rPr>
            </w:pPr>
            <w:r w:rsidRPr="00193363">
              <w:rPr>
                <w:rFonts w:cstheme="minorHAnsi"/>
              </w:rPr>
              <w:t>25,196</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68D11D59" w14:textId="77777777" w:rsidR="00193363" w:rsidRPr="00193363" w:rsidRDefault="00193363" w:rsidP="00193363">
            <w:pPr>
              <w:rPr>
                <w:rFonts w:cstheme="minorHAnsi"/>
              </w:rPr>
            </w:pPr>
            <w:r w:rsidRPr="00193363">
              <w:rPr>
                <w:rFonts w:cstheme="minorHAnsi"/>
              </w:rPr>
              <w:t>60,845</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395FC815" w14:textId="77777777" w:rsidR="00193363" w:rsidRPr="00193363" w:rsidRDefault="00193363" w:rsidP="00193363">
            <w:pPr>
              <w:rPr>
                <w:rFonts w:cstheme="minorHAnsi"/>
              </w:rPr>
            </w:pPr>
            <w:r w:rsidRPr="00193363">
              <w:rPr>
                <w:rFonts w:cstheme="minorHAnsi"/>
              </w:rPr>
              <w:t>43,992</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2A8BA4EC" w14:textId="77777777" w:rsidR="00193363" w:rsidRPr="00193363" w:rsidRDefault="00193363" w:rsidP="00193363">
            <w:pPr>
              <w:rPr>
                <w:rFonts w:cstheme="minorHAnsi"/>
              </w:rPr>
            </w:pPr>
            <w:r w:rsidRPr="00193363">
              <w:rPr>
                <w:rFonts w:cstheme="minorHAnsi"/>
              </w:rPr>
              <w:t>39,956</w:t>
            </w:r>
          </w:p>
        </w:tc>
      </w:tr>
      <w:tr w:rsidR="00193363" w:rsidRPr="00193363" w14:paraId="14B242F1"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7D4C91CE" w14:textId="77777777" w:rsidR="00193363" w:rsidRPr="00193363" w:rsidRDefault="00193363" w:rsidP="00193363">
            <w:pPr>
              <w:rPr>
                <w:rFonts w:cstheme="minorHAnsi"/>
              </w:rPr>
            </w:pPr>
            <w:r w:rsidRPr="00193363">
              <w:rPr>
                <w:rFonts w:cstheme="minorHAnsi"/>
                <w:b/>
                <w:bCs/>
              </w:rPr>
              <w:t>Residents with income below the poverty level (2016)</w:t>
            </w:r>
          </w:p>
        </w:tc>
        <w:tc>
          <w:tcPr>
            <w:tcW w:w="1530"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7D829A0C" w14:textId="77777777" w:rsidR="00193363" w:rsidRPr="00193363" w:rsidRDefault="00193363" w:rsidP="00193363">
            <w:pPr>
              <w:rPr>
                <w:rFonts w:cstheme="minorHAnsi"/>
              </w:rPr>
            </w:pPr>
            <w:r w:rsidRPr="00193363">
              <w:rPr>
                <w:rFonts w:cstheme="minorHAnsi"/>
              </w:rPr>
              <w:t>16.0%</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165CB546" w14:textId="77777777" w:rsidR="00193363" w:rsidRPr="00193363" w:rsidRDefault="00193363" w:rsidP="00193363">
            <w:pPr>
              <w:rPr>
                <w:rFonts w:cstheme="minorHAnsi"/>
              </w:rPr>
            </w:pPr>
            <w:r w:rsidRPr="00193363">
              <w:rPr>
                <w:rFonts w:cstheme="minorHAnsi"/>
              </w:rPr>
              <w:t>26.6%</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7DA2FC18" w14:textId="77777777" w:rsidR="00193363" w:rsidRPr="00193363" w:rsidRDefault="00193363" w:rsidP="00193363">
            <w:pPr>
              <w:rPr>
                <w:rFonts w:cstheme="minorHAnsi"/>
              </w:rPr>
            </w:pPr>
            <w:r w:rsidRPr="00193363">
              <w:rPr>
                <w:rFonts w:cstheme="minorHAnsi"/>
              </w:rPr>
              <w:t>34.7%</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70AE115D" w14:textId="77777777" w:rsidR="00193363" w:rsidRPr="00193363" w:rsidRDefault="00193363" w:rsidP="00193363">
            <w:pPr>
              <w:rPr>
                <w:rFonts w:cstheme="minorHAnsi"/>
              </w:rPr>
            </w:pPr>
            <w:r w:rsidRPr="00193363">
              <w:rPr>
                <w:rFonts w:cstheme="minorHAnsi"/>
              </w:rPr>
              <w:t>14.2%</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60DD054F" w14:textId="77777777" w:rsidR="00193363" w:rsidRPr="00193363" w:rsidRDefault="00193363" w:rsidP="00193363">
            <w:pPr>
              <w:rPr>
                <w:rFonts w:cstheme="minorHAnsi"/>
              </w:rPr>
            </w:pPr>
            <w:r w:rsidRPr="00193363">
              <w:rPr>
                <w:rFonts w:cstheme="minorHAnsi"/>
              </w:rPr>
              <w:t>22.5%</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1A219087" w14:textId="77777777" w:rsidR="00193363" w:rsidRPr="00193363" w:rsidRDefault="00193363" w:rsidP="00193363">
            <w:pPr>
              <w:rPr>
                <w:rFonts w:cstheme="minorHAnsi"/>
              </w:rPr>
            </w:pPr>
            <w:r w:rsidRPr="00193363">
              <w:rPr>
                <w:rFonts w:cstheme="minorHAnsi"/>
              </w:rPr>
              <w:t>22.6%</w:t>
            </w:r>
          </w:p>
        </w:tc>
      </w:tr>
      <w:tr w:rsidR="00193363" w:rsidRPr="00193363" w14:paraId="4B8A4424"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15BEDE5C" w14:textId="77777777" w:rsidR="00193363" w:rsidRPr="00193363" w:rsidRDefault="00193363" w:rsidP="00193363">
            <w:pPr>
              <w:rPr>
                <w:rFonts w:cstheme="minorHAnsi"/>
              </w:rPr>
            </w:pPr>
            <w:r w:rsidRPr="00193363">
              <w:rPr>
                <w:rFonts w:cstheme="minorHAnsi"/>
                <w:b/>
                <w:bCs/>
              </w:rPr>
              <w:t>Residents with income below 50% of the poverty level (2016)</w:t>
            </w:r>
          </w:p>
        </w:tc>
        <w:tc>
          <w:tcPr>
            <w:tcW w:w="1530"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56653BD9" w14:textId="77777777" w:rsidR="00193363" w:rsidRPr="00193363" w:rsidRDefault="00193363" w:rsidP="00193363">
            <w:pPr>
              <w:rPr>
                <w:rFonts w:cstheme="minorHAnsi"/>
              </w:rPr>
            </w:pPr>
            <w:r w:rsidRPr="00193363">
              <w:rPr>
                <w:rFonts w:cstheme="minorHAnsi"/>
              </w:rPr>
              <w:t>878,641 (8.7%)</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04B5D82A" w14:textId="77777777" w:rsidR="00193363" w:rsidRPr="00193363" w:rsidRDefault="00193363" w:rsidP="00193363">
            <w:pPr>
              <w:rPr>
                <w:rFonts w:cstheme="minorHAnsi"/>
              </w:rPr>
            </w:pPr>
            <w:r w:rsidRPr="00193363">
              <w:rPr>
                <w:rFonts w:cstheme="minorHAnsi"/>
              </w:rPr>
              <w:t>2,666 (11.7%)</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4F327F0D" w14:textId="77777777" w:rsidR="00193363" w:rsidRPr="00193363" w:rsidRDefault="00193363" w:rsidP="00193363">
            <w:pPr>
              <w:rPr>
                <w:rFonts w:cstheme="minorHAnsi"/>
              </w:rPr>
            </w:pPr>
            <w:r w:rsidRPr="00193363">
              <w:rPr>
                <w:rFonts w:cstheme="minorHAnsi"/>
              </w:rPr>
              <w:t>3,425 (14.4%)</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5F40ED9D" w14:textId="77777777" w:rsidR="00193363" w:rsidRPr="00193363" w:rsidRDefault="00193363" w:rsidP="00193363">
            <w:pPr>
              <w:rPr>
                <w:rFonts w:cstheme="minorHAnsi"/>
              </w:rPr>
            </w:pPr>
            <w:r w:rsidRPr="00193363">
              <w:rPr>
                <w:rFonts w:cstheme="minorHAnsi"/>
              </w:rPr>
              <w:t>849 (6.4%)</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58E87C58" w14:textId="77777777" w:rsidR="00193363" w:rsidRPr="00193363" w:rsidRDefault="00193363" w:rsidP="00193363">
            <w:pPr>
              <w:rPr>
                <w:rFonts w:cstheme="minorHAnsi"/>
              </w:rPr>
            </w:pPr>
            <w:r w:rsidRPr="00193363">
              <w:rPr>
                <w:rFonts w:cstheme="minorHAnsi"/>
              </w:rPr>
              <w:t>4,349 (8.7%)</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69F733C7" w14:textId="77777777" w:rsidR="00193363" w:rsidRPr="00193363" w:rsidRDefault="00193363" w:rsidP="00193363">
            <w:pPr>
              <w:rPr>
                <w:rFonts w:cstheme="minorHAnsi"/>
              </w:rPr>
            </w:pPr>
            <w:r w:rsidRPr="00193363">
              <w:rPr>
                <w:rFonts w:cstheme="minorHAnsi"/>
              </w:rPr>
              <w:t>8,115 (12.6%)</w:t>
            </w:r>
          </w:p>
        </w:tc>
      </w:tr>
      <w:tr w:rsidR="00193363" w:rsidRPr="00193363" w14:paraId="7F2A6B35"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1264F3AB" w14:textId="77777777" w:rsidR="00193363" w:rsidRPr="00193363" w:rsidRDefault="00193363" w:rsidP="00193363">
            <w:pPr>
              <w:rPr>
                <w:rFonts w:cstheme="minorHAnsi"/>
              </w:rPr>
            </w:pPr>
            <w:r w:rsidRPr="00193363">
              <w:rPr>
                <w:rFonts w:cstheme="minorHAnsi"/>
                <w:b/>
                <w:bCs/>
              </w:rPr>
              <w:t>Race African American (2016)</w:t>
            </w:r>
          </w:p>
        </w:tc>
        <w:tc>
          <w:tcPr>
            <w:tcW w:w="1530"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45E4B1C0" w14:textId="77777777" w:rsidR="00193363" w:rsidRPr="00193363" w:rsidRDefault="00193363" w:rsidP="00193363">
            <w:pPr>
              <w:rPr>
                <w:rFonts w:cstheme="minorHAnsi"/>
              </w:rPr>
            </w:pPr>
            <w:r w:rsidRPr="00193363">
              <w:rPr>
                <w:rFonts w:cstheme="minorHAnsi"/>
              </w:rPr>
              <w:t> 3,271,240</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7183E94A" w14:textId="77777777" w:rsidR="00193363" w:rsidRPr="00193363" w:rsidRDefault="00193363" w:rsidP="00193363">
            <w:pPr>
              <w:rPr>
                <w:rFonts w:cstheme="minorHAnsi"/>
              </w:rPr>
            </w:pPr>
            <w:r w:rsidRPr="00193363">
              <w:rPr>
                <w:rFonts w:cstheme="minorHAnsi"/>
              </w:rPr>
              <w:t>10,743</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6C99B437" w14:textId="77777777" w:rsidR="00193363" w:rsidRPr="00193363" w:rsidRDefault="00193363" w:rsidP="00193363">
            <w:pPr>
              <w:rPr>
                <w:rFonts w:cstheme="minorHAnsi"/>
              </w:rPr>
            </w:pPr>
            <w:r w:rsidRPr="00193363">
              <w:rPr>
                <w:rFonts w:cstheme="minorHAnsi"/>
              </w:rPr>
              <w:t>20,788</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5FA39764" w14:textId="77777777" w:rsidR="00193363" w:rsidRPr="00193363" w:rsidRDefault="00193363" w:rsidP="00193363">
            <w:pPr>
              <w:rPr>
                <w:rFonts w:cstheme="minorHAnsi"/>
              </w:rPr>
            </w:pPr>
            <w:r w:rsidRPr="00193363">
              <w:rPr>
                <w:rFonts w:cstheme="minorHAnsi"/>
              </w:rPr>
              <w:t>7,000</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21F3C972" w14:textId="77777777" w:rsidR="00193363" w:rsidRPr="00193363" w:rsidRDefault="00193363" w:rsidP="00193363">
            <w:pPr>
              <w:rPr>
                <w:rFonts w:cstheme="minorHAnsi"/>
              </w:rPr>
            </w:pPr>
            <w:r w:rsidRPr="00193363">
              <w:rPr>
                <w:rFonts w:cstheme="minorHAnsi"/>
              </w:rPr>
              <w:t>28,991</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2083E665" w14:textId="77777777" w:rsidR="00193363" w:rsidRPr="00193363" w:rsidRDefault="00193363" w:rsidP="00193363">
            <w:pPr>
              <w:rPr>
                <w:rFonts w:cstheme="minorHAnsi"/>
              </w:rPr>
            </w:pPr>
            <w:r w:rsidRPr="00193363">
              <w:rPr>
                <w:rFonts w:cstheme="minorHAnsi"/>
              </w:rPr>
              <w:t>50,740</w:t>
            </w:r>
          </w:p>
        </w:tc>
      </w:tr>
      <w:tr w:rsidR="00193363" w:rsidRPr="00193363" w14:paraId="1D18DA5D"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195FCB24" w14:textId="77777777" w:rsidR="00193363" w:rsidRPr="00193363" w:rsidRDefault="00193363" w:rsidP="00193363">
            <w:pPr>
              <w:rPr>
                <w:rFonts w:cstheme="minorHAnsi"/>
              </w:rPr>
            </w:pPr>
            <w:r w:rsidRPr="00193363">
              <w:rPr>
                <w:rFonts w:cstheme="minorHAnsi"/>
                <w:b/>
                <w:bCs/>
              </w:rPr>
              <w:t>SNAP/food stamps yes households (2016)</w:t>
            </w:r>
          </w:p>
        </w:tc>
        <w:tc>
          <w:tcPr>
            <w:tcW w:w="1530"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0B00D35D" w14:textId="77777777" w:rsidR="00193363" w:rsidRPr="00193363" w:rsidRDefault="00193363" w:rsidP="00193363">
            <w:pPr>
              <w:rPr>
                <w:rFonts w:cstheme="minorHAnsi"/>
              </w:rPr>
            </w:pPr>
            <w:r w:rsidRPr="00193363">
              <w:rPr>
                <w:rFonts w:cstheme="minorHAnsi"/>
              </w:rPr>
              <w:t>1,625,000</w:t>
            </w:r>
          </w:p>
          <w:p w14:paraId="39B93B80" w14:textId="77777777" w:rsidR="00193363" w:rsidRPr="00193363" w:rsidRDefault="00193363" w:rsidP="00193363">
            <w:pPr>
              <w:rPr>
                <w:rFonts w:cstheme="minorHAnsi"/>
              </w:rPr>
            </w:pPr>
            <w:r w:rsidRPr="00193363">
              <w:rPr>
                <w:rFonts w:cstheme="minorHAnsi"/>
              </w:rPr>
              <w:t>(people)</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122C777E" w14:textId="77777777" w:rsidR="00193363" w:rsidRPr="00193363" w:rsidRDefault="00193363" w:rsidP="00193363">
            <w:pPr>
              <w:rPr>
                <w:rFonts w:cstheme="minorHAnsi"/>
              </w:rPr>
            </w:pPr>
            <w:r w:rsidRPr="00193363">
              <w:rPr>
                <w:rFonts w:cstheme="minorHAnsi"/>
              </w:rPr>
              <w:t>2,307</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4EF0D605" w14:textId="77777777" w:rsidR="00193363" w:rsidRPr="00193363" w:rsidRDefault="00193363" w:rsidP="00193363">
            <w:pPr>
              <w:rPr>
                <w:rFonts w:cstheme="minorHAnsi"/>
              </w:rPr>
            </w:pPr>
            <w:r w:rsidRPr="00193363">
              <w:rPr>
                <w:rFonts w:cstheme="minorHAnsi"/>
              </w:rPr>
              <w:t>2,326</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084F4EF8" w14:textId="77777777" w:rsidR="00193363" w:rsidRPr="00193363" w:rsidRDefault="00193363" w:rsidP="00193363">
            <w:pPr>
              <w:rPr>
                <w:rFonts w:cstheme="minorHAnsi"/>
              </w:rPr>
            </w:pPr>
            <w:r w:rsidRPr="00193363">
              <w:rPr>
                <w:rFonts w:cstheme="minorHAnsi"/>
              </w:rPr>
              <w:t>1,012</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659528B4" w14:textId="77777777" w:rsidR="00193363" w:rsidRPr="00193363" w:rsidRDefault="00193363" w:rsidP="00193363">
            <w:pPr>
              <w:rPr>
                <w:rFonts w:cstheme="minorHAnsi"/>
              </w:rPr>
            </w:pPr>
            <w:r w:rsidRPr="00193363">
              <w:rPr>
                <w:rFonts w:cstheme="minorHAnsi"/>
              </w:rPr>
              <w:t>2,763</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26476C77" w14:textId="77777777" w:rsidR="00193363" w:rsidRPr="00193363" w:rsidRDefault="00193363" w:rsidP="00193363">
            <w:pPr>
              <w:rPr>
                <w:rFonts w:cstheme="minorHAnsi"/>
              </w:rPr>
            </w:pPr>
            <w:r w:rsidRPr="00193363">
              <w:rPr>
                <w:rFonts w:cstheme="minorHAnsi"/>
              </w:rPr>
              <w:t>5,485</w:t>
            </w:r>
          </w:p>
        </w:tc>
      </w:tr>
      <w:tr w:rsidR="00193363" w:rsidRPr="00193363" w14:paraId="6F639DD4"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5D7DE00D" w14:textId="77777777" w:rsidR="00193363" w:rsidRPr="00193363" w:rsidRDefault="00193363" w:rsidP="00193363">
            <w:pPr>
              <w:rPr>
                <w:rFonts w:cstheme="minorHAnsi"/>
              </w:rPr>
            </w:pPr>
            <w:r w:rsidRPr="00193363">
              <w:rPr>
                <w:rFonts w:cstheme="minorHAnsi"/>
                <w:b/>
                <w:bCs/>
              </w:rPr>
              <w:t>SNAP/food stamps no households (2016)</w:t>
            </w:r>
          </w:p>
        </w:tc>
        <w:tc>
          <w:tcPr>
            <w:tcW w:w="1530"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41092A64" w14:textId="77777777" w:rsidR="00193363" w:rsidRPr="00193363" w:rsidRDefault="00193363" w:rsidP="00193363">
            <w:pPr>
              <w:rPr>
                <w:rFonts w:cstheme="minorHAnsi"/>
              </w:rPr>
            </w:pPr>
            <w:r w:rsidRPr="00193363">
              <w:rPr>
                <w:rFonts w:cstheme="minorHAnsi"/>
              </w:rPr>
              <w:t>8,483,000 (people)</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17AC05BD" w14:textId="77777777" w:rsidR="00193363" w:rsidRPr="00193363" w:rsidRDefault="00193363" w:rsidP="00193363">
            <w:pPr>
              <w:rPr>
                <w:rFonts w:cstheme="minorHAnsi"/>
              </w:rPr>
            </w:pPr>
            <w:r w:rsidRPr="00193363">
              <w:rPr>
                <w:rFonts w:cstheme="minorHAnsi"/>
              </w:rPr>
              <w:t>8,993</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3D64DB1C" w14:textId="77777777" w:rsidR="00193363" w:rsidRPr="00193363" w:rsidRDefault="00193363" w:rsidP="00193363">
            <w:pPr>
              <w:rPr>
                <w:rFonts w:cstheme="minorHAnsi"/>
              </w:rPr>
            </w:pPr>
            <w:r w:rsidRPr="00193363">
              <w:rPr>
                <w:rFonts w:cstheme="minorHAnsi"/>
              </w:rPr>
              <w:t>4,843</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61368488" w14:textId="77777777" w:rsidR="00193363" w:rsidRPr="00193363" w:rsidRDefault="00193363" w:rsidP="00193363">
            <w:pPr>
              <w:rPr>
                <w:rFonts w:cstheme="minorHAnsi"/>
              </w:rPr>
            </w:pPr>
            <w:r w:rsidRPr="00193363">
              <w:rPr>
                <w:rFonts w:cstheme="minorHAnsi"/>
              </w:rPr>
              <w:t>4,406</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03873A90" w14:textId="77777777" w:rsidR="00193363" w:rsidRPr="00193363" w:rsidRDefault="00193363" w:rsidP="00193363">
            <w:pPr>
              <w:rPr>
                <w:rFonts w:cstheme="minorHAnsi"/>
              </w:rPr>
            </w:pPr>
            <w:r w:rsidRPr="00193363">
              <w:rPr>
                <w:rFonts w:cstheme="minorHAnsi"/>
              </w:rPr>
              <w:t>17,711</w:t>
            </w:r>
          </w:p>
        </w:tc>
        <w:tc>
          <w:tcPr>
            <w:tcW w:w="1078" w:type="dxa"/>
            <w:tcBorders>
              <w:top w:val="nil"/>
              <w:left w:val="nil"/>
              <w:bottom w:val="single" w:sz="8" w:space="0" w:color="FFFFFF"/>
              <w:right w:val="single" w:sz="8" w:space="0" w:color="FFFFFF"/>
            </w:tcBorders>
            <w:shd w:val="clear" w:color="auto" w:fill="FFE599"/>
            <w:tcMar>
              <w:top w:w="0" w:type="dxa"/>
              <w:left w:w="108" w:type="dxa"/>
              <w:bottom w:w="0" w:type="dxa"/>
              <w:right w:w="108" w:type="dxa"/>
            </w:tcMar>
            <w:hideMark/>
          </w:tcPr>
          <w:p w14:paraId="75DE6207" w14:textId="77777777" w:rsidR="00193363" w:rsidRPr="00193363" w:rsidRDefault="00193363" w:rsidP="00193363">
            <w:pPr>
              <w:rPr>
                <w:rFonts w:cstheme="minorHAnsi"/>
              </w:rPr>
            </w:pPr>
            <w:r w:rsidRPr="00193363">
              <w:rPr>
                <w:rFonts w:cstheme="minorHAnsi"/>
              </w:rPr>
              <w:t>17,531</w:t>
            </w:r>
          </w:p>
        </w:tc>
      </w:tr>
      <w:tr w:rsidR="00193363" w:rsidRPr="00193363" w14:paraId="51B4B8C2" w14:textId="77777777" w:rsidTr="00193363">
        <w:tc>
          <w:tcPr>
            <w:tcW w:w="2420" w:type="dxa"/>
            <w:tcBorders>
              <w:top w:val="nil"/>
              <w:left w:val="single" w:sz="8" w:space="0" w:color="FFFFFF"/>
              <w:bottom w:val="single" w:sz="8" w:space="0" w:color="FFFFFF"/>
              <w:right w:val="single" w:sz="8" w:space="0" w:color="FFFFFF"/>
            </w:tcBorders>
            <w:shd w:val="clear" w:color="auto" w:fill="FFC000"/>
            <w:tcMar>
              <w:top w:w="0" w:type="dxa"/>
              <w:left w:w="108" w:type="dxa"/>
              <w:bottom w:w="0" w:type="dxa"/>
              <w:right w:w="108" w:type="dxa"/>
            </w:tcMar>
            <w:hideMark/>
          </w:tcPr>
          <w:p w14:paraId="5BAAAE72" w14:textId="77777777" w:rsidR="00193363" w:rsidRPr="00193363" w:rsidRDefault="00193363" w:rsidP="00193363">
            <w:pPr>
              <w:rPr>
                <w:rFonts w:cstheme="minorHAnsi"/>
              </w:rPr>
            </w:pPr>
            <w:r w:rsidRPr="00193363">
              <w:rPr>
                <w:rFonts w:cstheme="minorHAnsi"/>
                <w:b/>
                <w:bCs/>
              </w:rPr>
              <w:t>% of households receiving food stamps in the past 12 months (2017)</w:t>
            </w:r>
          </w:p>
        </w:tc>
        <w:tc>
          <w:tcPr>
            <w:tcW w:w="1530"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3DF342ED" w14:textId="77777777" w:rsidR="00193363" w:rsidRPr="00193363" w:rsidRDefault="00193363" w:rsidP="00193363">
            <w:pPr>
              <w:rPr>
                <w:rFonts w:cstheme="minorHAnsi"/>
              </w:rPr>
            </w:pPr>
            <w:r w:rsidRPr="00193363">
              <w:rPr>
                <w:rFonts w:cstheme="minorHAnsi"/>
              </w:rPr>
              <w:t>16.1%</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385B4D13" w14:textId="77777777" w:rsidR="00193363" w:rsidRPr="00193363" w:rsidRDefault="00193363" w:rsidP="00193363">
            <w:pPr>
              <w:rPr>
                <w:rFonts w:cstheme="minorHAnsi"/>
              </w:rPr>
            </w:pPr>
            <w:r w:rsidRPr="00193363">
              <w:rPr>
                <w:rFonts w:cstheme="minorHAnsi"/>
              </w:rPr>
              <w:t>10.1%</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21A8969D" w14:textId="77777777" w:rsidR="00193363" w:rsidRPr="00193363" w:rsidRDefault="00193363" w:rsidP="00193363">
            <w:pPr>
              <w:rPr>
                <w:rFonts w:cstheme="minorHAnsi"/>
              </w:rPr>
            </w:pPr>
            <w:r w:rsidRPr="00193363">
              <w:rPr>
                <w:rFonts w:cstheme="minorHAnsi"/>
              </w:rPr>
              <w:t>9.8%</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5BA6CE2A" w14:textId="77777777" w:rsidR="00193363" w:rsidRPr="00193363" w:rsidRDefault="00193363" w:rsidP="00193363">
            <w:pPr>
              <w:rPr>
                <w:rFonts w:cstheme="minorHAnsi"/>
              </w:rPr>
            </w:pPr>
            <w:r w:rsidRPr="00193363">
              <w:rPr>
                <w:rFonts w:cstheme="minorHAnsi"/>
              </w:rPr>
              <w:t>7.6%</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294005E3" w14:textId="77777777" w:rsidR="00193363" w:rsidRPr="00193363" w:rsidRDefault="00193363" w:rsidP="00193363">
            <w:pPr>
              <w:rPr>
                <w:rFonts w:cstheme="minorHAnsi"/>
              </w:rPr>
            </w:pPr>
            <w:r w:rsidRPr="00193363">
              <w:rPr>
                <w:rFonts w:cstheme="minorHAnsi"/>
              </w:rPr>
              <w:t>5.5%</w:t>
            </w:r>
          </w:p>
        </w:tc>
        <w:tc>
          <w:tcPr>
            <w:tcW w:w="1078" w:type="dxa"/>
            <w:tcBorders>
              <w:top w:val="nil"/>
              <w:left w:val="nil"/>
              <w:bottom w:val="single" w:sz="8" w:space="0" w:color="FFFFFF"/>
              <w:right w:val="single" w:sz="8" w:space="0" w:color="FFFFFF"/>
            </w:tcBorders>
            <w:shd w:val="clear" w:color="auto" w:fill="FFF2CC"/>
            <w:tcMar>
              <w:top w:w="0" w:type="dxa"/>
              <w:left w:w="108" w:type="dxa"/>
              <w:bottom w:w="0" w:type="dxa"/>
              <w:right w:w="108" w:type="dxa"/>
            </w:tcMar>
            <w:hideMark/>
          </w:tcPr>
          <w:p w14:paraId="182EAD22" w14:textId="77777777" w:rsidR="00193363" w:rsidRPr="00193363" w:rsidRDefault="00193363" w:rsidP="00193363">
            <w:pPr>
              <w:rPr>
                <w:rFonts w:cstheme="minorHAnsi"/>
              </w:rPr>
            </w:pPr>
            <w:r w:rsidRPr="00193363">
              <w:rPr>
                <w:rFonts w:cstheme="minorHAnsi"/>
              </w:rPr>
              <w:t>8.5%</w:t>
            </w:r>
          </w:p>
        </w:tc>
      </w:tr>
    </w:tbl>
    <w:p w14:paraId="1D20C84A" w14:textId="77777777" w:rsidR="00193363" w:rsidRPr="00193363" w:rsidRDefault="00193363" w:rsidP="00193363">
      <w:pPr>
        <w:rPr>
          <w:rFonts w:cstheme="minorHAnsi"/>
        </w:rPr>
      </w:pPr>
    </w:p>
    <w:p w14:paraId="0DB0823F" w14:textId="77777777" w:rsidR="00193363" w:rsidRPr="00193363" w:rsidRDefault="00193363" w:rsidP="00193363">
      <w:pPr>
        <w:rPr>
          <w:rFonts w:cstheme="minorHAnsi"/>
        </w:rPr>
      </w:pPr>
      <w:r w:rsidRPr="00193363">
        <w:rPr>
          <w:rFonts w:cstheme="minorHAnsi"/>
          <w:noProof/>
        </w:rPr>
        <w:lastRenderedPageBreak/>
        <w:drawing>
          <wp:inline distT="0" distB="0" distL="0" distR="0" wp14:anchorId="7FAF26A6" wp14:editId="7D6A9D6C">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8169AD" w14:textId="77777777" w:rsidR="00193363" w:rsidRPr="00193363" w:rsidRDefault="00193363" w:rsidP="00193363">
      <w:pPr>
        <w:rPr>
          <w:rFonts w:cstheme="minorHAnsi"/>
        </w:rPr>
      </w:pPr>
    </w:p>
    <w:p w14:paraId="4ABFF3EE" w14:textId="77777777" w:rsidR="00193363" w:rsidRPr="00193363" w:rsidRDefault="00193363" w:rsidP="00193363">
      <w:pPr>
        <w:rPr>
          <w:rFonts w:cstheme="minorHAnsi"/>
        </w:rPr>
      </w:pPr>
      <w:r w:rsidRPr="00193363">
        <w:rPr>
          <w:rFonts w:cstheme="minorHAnsi"/>
          <w:noProof/>
        </w:rPr>
        <w:drawing>
          <wp:inline distT="0" distB="0" distL="0" distR="0" wp14:anchorId="7E262075" wp14:editId="17B81BD2">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FDC262" w14:textId="77777777" w:rsidR="00193363" w:rsidRPr="00193363" w:rsidRDefault="00193363" w:rsidP="00193363">
      <w:pPr>
        <w:rPr>
          <w:rFonts w:cstheme="minorHAnsi"/>
        </w:rPr>
      </w:pPr>
      <w:r w:rsidRPr="00193363">
        <w:rPr>
          <w:rFonts w:cstheme="minorHAnsi"/>
          <w:noProof/>
        </w:rPr>
        <w:lastRenderedPageBreak/>
        <w:drawing>
          <wp:inline distT="0" distB="0" distL="0" distR="0" wp14:anchorId="0D100FC0" wp14:editId="3C38DEAA">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170A08" w14:textId="77777777" w:rsidR="00193363" w:rsidRPr="00193363" w:rsidRDefault="00193363" w:rsidP="00193363">
      <w:pPr>
        <w:rPr>
          <w:rFonts w:cstheme="minorHAnsi"/>
        </w:rPr>
      </w:pPr>
      <w:r w:rsidRPr="00193363">
        <w:rPr>
          <w:rFonts w:cstheme="minorHAnsi"/>
          <w:noProof/>
        </w:rPr>
        <w:drawing>
          <wp:inline distT="0" distB="0" distL="0" distR="0" wp14:anchorId="6CC2F626" wp14:editId="0E69FA35">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E8CC58" w14:textId="77777777" w:rsidR="00193363" w:rsidRPr="00193363" w:rsidRDefault="00193363" w:rsidP="00193363">
      <w:pPr>
        <w:rPr>
          <w:rFonts w:cstheme="minorHAnsi"/>
        </w:rPr>
      </w:pPr>
      <w:r w:rsidRPr="00193363">
        <w:rPr>
          <w:rFonts w:cstheme="minorHAnsi"/>
          <w:noProof/>
        </w:rPr>
        <w:lastRenderedPageBreak/>
        <w:drawing>
          <wp:inline distT="0" distB="0" distL="0" distR="0" wp14:anchorId="12B07409" wp14:editId="09419E41">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39E9A2" w14:textId="01924EEE" w:rsidR="003D01BB" w:rsidRPr="00193363" w:rsidRDefault="003D01BB">
      <w:pPr>
        <w:rPr>
          <w:rFonts w:cstheme="minorHAnsi"/>
        </w:rPr>
      </w:pPr>
    </w:p>
    <w:sectPr w:rsidR="003D01BB" w:rsidRPr="0019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EC"/>
    <w:rsid w:val="000C0065"/>
    <w:rsid w:val="00193363"/>
    <w:rsid w:val="001F0694"/>
    <w:rsid w:val="002D506D"/>
    <w:rsid w:val="002E4720"/>
    <w:rsid w:val="003D01BB"/>
    <w:rsid w:val="00445633"/>
    <w:rsid w:val="005266C7"/>
    <w:rsid w:val="00585F0F"/>
    <w:rsid w:val="00620C60"/>
    <w:rsid w:val="00703047"/>
    <w:rsid w:val="00720562"/>
    <w:rsid w:val="007D5608"/>
    <w:rsid w:val="00A4797D"/>
    <w:rsid w:val="00A90B52"/>
    <w:rsid w:val="00B53798"/>
    <w:rsid w:val="00B9660D"/>
    <w:rsid w:val="00C47F57"/>
    <w:rsid w:val="00C57925"/>
    <w:rsid w:val="00C80908"/>
    <w:rsid w:val="00CA35DF"/>
    <w:rsid w:val="00CE077F"/>
    <w:rsid w:val="00CE15D1"/>
    <w:rsid w:val="00CE76D3"/>
    <w:rsid w:val="00D76BC6"/>
    <w:rsid w:val="00D9146E"/>
    <w:rsid w:val="00D9691C"/>
    <w:rsid w:val="00DF4DF0"/>
    <w:rsid w:val="00E37385"/>
    <w:rsid w:val="00EA4840"/>
    <w:rsid w:val="00FD4DEC"/>
    <w:rsid w:val="00FF533D"/>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0A3C"/>
  <w15:chartTrackingRefBased/>
  <w15:docId w15:val="{F34E9371-3526-458A-9CAE-BD46F72C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7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B52"/>
    <w:rPr>
      <w:sz w:val="16"/>
      <w:szCs w:val="16"/>
    </w:rPr>
  </w:style>
  <w:style w:type="paragraph" w:styleId="CommentText">
    <w:name w:val="annotation text"/>
    <w:basedOn w:val="Normal"/>
    <w:link w:val="CommentTextChar"/>
    <w:uiPriority w:val="99"/>
    <w:semiHidden/>
    <w:unhideWhenUsed/>
    <w:rsid w:val="00A90B52"/>
    <w:pPr>
      <w:spacing w:line="240" w:lineRule="auto"/>
    </w:pPr>
    <w:rPr>
      <w:sz w:val="20"/>
      <w:szCs w:val="20"/>
    </w:rPr>
  </w:style>
  <w:style w:type="character" w:customStyle="1" w:styleId="CommentTextChar">
    <w:name w:val="Comment Text Char"/>
    <w:basedOn w:val="DefaultParagraphFont"/>
    <w:link w:val="CommentText"/>
    <w:uiPriority w:val="99"/>
    <w:semiHidden/>
    <w:rsid w:val="00A90B52"/>
    <w:rPr>
      <w:sz w:val="20"/>
      <w:szCs w:val="20"/>
    </w:rPr>
  </w:style>
  <w:style w:type="paragraph" w:styleId="CommentSubject">
    <w:name w:val="annotation subject"/>
    <w:basedOn w:val="CommentText"/>
    <w:next w:val="CommentText"/>
    <w:link w:val="CommentSubjectChar"/>
    <w:uiPriority w:val="99"/>
    <w:semiHidden/>
    <w:unhideWhenUsed/>
    <w:rsid w:val="00A90B52"/>
    <w:rPr>
      <w:b/>
      <w:bCs/>
    </w:rPr>
  </w:style>
  <w:style w:type="character" w:customStyle="1" w:styleId="CommentSubjectChar">
    <w:name w:val="Comment Subject Char"/>
    <w:basedOn w:val="CommentTextChar"/>
    <w:link w:val="CommentSubject"/>
    <w:uiPriority w:val="99"/>
    <w:semiHidden/>
    <w:rsid w:val="00A90B52"/>
    <w:rPr>
      <w:b/>
      <w:bCs/>
      <w:sz w:val="20"/>
      <w:szCs w:val="20"/>
    </w:rPr>
  </w:style>
  <w:style w:type="paragraph" w:styleId="BalloonText">
    <w:name w:val="Balloon Text"/>
    <w:basedOn w:val="Normal"/>
    <w:link w:val="BalloonTextChar"/>
    <w:uiPriority w:val="99"/>
    <w:semiHidden/>
    <w:unhideWhenUsed/>
    <w:rsid w:val="00A9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52"/>
    <w:rPr>
      <w:rFonts w:ascii="Segoe UI" w:hAnsi="Segoe UI" w:cs="Segoe UI"/>
      <w:sz w:val="18"/>
      <w:szCs w:val="18"/>
    </w:rPr>
  </w:style>
  <w:style w:type="table" w:customStyle="1" w:styleId="TableGrid1">
    <w:name w:val="Table Grid1"/>
    <w:basedOn w:val="TableNormal"/>
    <w:next w:val="TableGrid"/>
    <w:uiPriority w:val="59"/>
    <w:rsid w:val="0070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33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264">
      <w:bodyDiv w:val="1"/>
      <w:marLeft w:val="0"/>
      <w:marRight w:val="0"/>
      <w:marTop w:val="0"/>
      <w:marBottom w:val="0"/>
      <w:divBdr>
        <w:top w:val="none" w:sz="0" w:space="0" w:color="auto"/>
        <w:left w:val="none" w:sz="0" w:space="0" w:color="auto"/>
        <w:bottom w:val="none" w:sz="0" w:space="0" w:color="auto"/>
        <w:right w:val="none" w:sz="0" w:space="0" w:color="auto"/>
      </w:divBdr>
    </w:div>
    <w:div w:id="921450461">
      <w:bodyDiv w:val="1"/>
      <w:marLeft w:val="0"/>
      <w:marRight w:val="0"/>
      <w:marTop w:val="0"/>
      <w:marBottom w:val="0"/>
      <w:divBdr>
        <w:top w:val="none" w:sz="0" w:space="0" w:color="auto"/>
        <w:left w:val="none" w:sz="0" w:space="0" w:color="auto"/>
        <w:bottom w:val="none" w:sz="0" w:space="0" w:color="auto"/>
        <w:right w:val="none" w:sz="0" w:space="0" w:color="auto"/>
      </w:divBdr>
    </w:div>
    <w:div w:id="20993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theme" Target="theme/theme1.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529892096821232"/>
          <c:y val="4.3650793650793648E-2"/>
          <c:w val="0.70962580198308534"/>
          <c:h val="0.86429258842644674"/>
        </c:manualLayout>
      </c:layout>
      <c:barChart>
        <c:barDir val="bar"/>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Information dissemination</c:v>
                </c:pt>
                <c:pt idx="1">
                  <c:v>Community Outreach/Engagement &amp; Capcity Building</c:v>
                </c:pt>
                <c:pt idx="2">
                  <c:v>Youth &amp; Young Adult Interventions</c:v>
                </c:pt>
                <c:pt idx="3">
                  <c:v>Alternative Activities for Youth</c:v>
                </c:pt>
                <c:pt idx="4">
                  <c:v>Evidence-Based Programs</c:v>
                </c:pt>
              </c:strCache>
            </c:strRef>
          </c:cat>
          <c:val>
            <c:numRef>
              <c:f>Sheet1!$B$2:$B$6</c:f>
              <c:numCache>
                <c:formatCode>0.0%</c:formatCode>
                <c:ptCount val="5"/>
                <c:pt idx="0">
                  <c:v>1.2999999999999999E-2</c:v>
                </c:pt>
                <c:pt idx="1">
                  <c:v>4.1000000000000002E-2</c:v>
                </c:pt>
                <c:pt idx="2">
                  <c:v>0.14699999999999999</c:v>
                </c:pt>
                <c:pt idx="3">
                  <c:v>0.79</c:v>
                </c:pt>
                <c:pt idx="4">
                  <c:v>0.01</c:v>
                </c:pt>
              </c:numCache>
            </c:numRef>
          </c:val>
          <c:extLst>
            <c:ext xmlns:c16="http://schemas.microsoft.com/office/drawing/2014/chart" uri="{C3380CC4-5D6E-409C-BE32-E72D297353CC}">
              <c16:uniqueId val="{00000000-BBE3-413C-B173-2470142F9F88}"/>
            </c:ext>
          </c:extLst>
        </c:ser>
        <c:dLbls>
          <c:showLegendKey val="0"/>
          <c:showVal val="0"/>
          <c:showCatName val="0"/>
          <c:showSerName val="0"/>
          <c:showPercent val="0"/>
          <c:showBubbleSize val="0"/>
        </c:dLbls>
        <c:gapWidth val="35"/>
        <c:axId val="522604632"/>
        <c:axId val="522606592"/>
      </c:barChart>
      <c:catAx>
        <c:axId val="5226046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22606592"/>
        <c:crosses val="autoZero"/>
        <c:auto val="1"/>
        <c:lblAlgn val="ctr"/>
        <c:lblOffset val="100"/>
        <c:noMultiLvlLbl val="0"/>
      </c:catAx>
      <c:valAx>
        <c:axId val="522606592"/>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2260463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Households receiving Food Stamps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Georgia</c:v>
                </c:pt>
                <c:pt idx="1">
                  <c:v>30312</c:v>
                </c:pt>
                <c:pt idx="2">
                  <c:v>30314</c:v>
                </c:pt>
                <c:pt idx="3">
                  <c:v>30317</c:v>
                </c:pt>
                <c:pt idx="4">
                  <c:v>30318</c:v>
                </c:pt>
                <c:pt idx="5">
                  <c:v>30331</c:v>
                </c:pt>
              </c:strCache>
            </c:strRef>
          </c:cat>
          <c:val>
            <c:numRef>
              <c:f>Sheet1!$B$2:$B$7</c:f>
              <c:numCache>
                <c:formatCode>0.0%</c:formatCode>
                <c:ptCount val="6"/>
                <c:pt idx="0">
                  <c:v>0.161</c:v>
                </c:pt>
                <c:pt idx="1">
                  <c:v>0.10100000000000001</c:v>
                </c:pt>
                <c:pt idx="2">
                  <c:v>9.8000000000000004E-2</c:v>
                </c:pt>
                <c:pt idx="3">
                  <c:v>7.5999999999999998E-2</c:v>
                </c:pt>
                <c:pt idx="4">
                  <c:v>5.5E-2</c:v>
                </c:pt>
                <c:pt idx="5">
                  <c:v>8.5000000000000006E-2</c:v>
                </c:pt>
              </c:numCache>
            </c:numRef>
          </c:val>
          <c:extLst>
            <c:ext xmlns:c16="http://schemas.microsoft.com/office/drawing/2014/chart" uri="{C3380CC4-5D6E-409C-BE32-E72D297353CC}">
              <c16:uniqueId val="{00000000-5DBE-4EBF-AD62-49BB5CF84F0B}"/>
            </c:ext>
          </c:extLst>
        </c:ser>
        <c:dLbls>
          <c:showLegendKey val="0"/>
          <c:showVal val="0"/>
          <c:showCatName val="0"/>
          <c:showSerName val="0"/>
          <c:showPercent val="0"/>
          <c:showBubbleSize val="0"/>
        </c:dLbls>
        <c:gapWidth val="219"/>
        <c:overlap val="-27"/>
        <c:axId val="515623000"/>
        <c:axId val="515623392"/>
      </c:barChart>
      <c:catAx>
        <c:axId val="51562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623392"/>
        <c:crosses val="autoZero"/>
        <c:auto val="1"/>
        <c:lblAlgn val="ctr"/>
        <c:lblOffset val="100"/>
        <c:noMultiLvlLbl val="0"/>
      </c:catAx>
      <c:valAx>
        <c:axId val="5156233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623000"/>
        <c:crosses val="autoZero"/>
        <c:crossBetween val="between"/>
        <c:majorUnit val="0.2"/>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96702835408903"/>
          <c:y val="3.6732022043061349E-2"/>
          <c:w val="0.41049103237095363"/>
          <c:h val="0.94200332528155095"/>
        </c:manualLayout>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627-42ED-B227-7954D5FB69C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627-42ED-B227-7954D5FB69C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4627-42ED-B227-7954D5FB69CA}"/>
              </c:ext>
            </c:extLst>
          </c:dPt>
          <c:dLbls>
            <c:dLbl>
              <c:idx val="0"/>
              <c:layout>
                <c:manualLayout>
                  <c:x val="3.0593752517606562E-3"/>
                  <c:y val="6.43352051113132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627-42ED-B227-7954D5FB69CA}"/>
                </c:ext>
              </c:extLst>
            </c:dLbl>
            <c:dLbl>
              <c:idx val="1"/>
              <c:layout>
                <c:manualLayout>
                  <c:x val="4.8617913067813216E-3"/>
                  <c:y val="0.1193554391358450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27-42ED-B227-7954D5FB69CA}"/>
                </c:ext>
              </c:extLst>
            </c:dLbl>
            <c:dLbl>
              <c:idx val="2"/>
              <c:layout>
                <c:manualLayout>
                  <c:x val="1.1184748917693851E-2"/>
                  <c:y val="-2.442304273718773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627-42ED-B227-7954D5FB69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Sheet1!$A$2:$A$4</c:f>
              <c:strCache>
                <c:ptCount val="3"/>
                <c:pt idx="0">
                  <c:v>Life Skills</c:v>
                </c:pt>
                <c:pt idx="1">
                  <c:v>Case Management Services</c:v>
                </c:pt>
                <c:pt idx="2">
                  <c:v>Vocational Training</c:v>
                </c:pt>
              </c:strCache>
            </c:strRef>
          </c:cat>
          <c:val>
            <c:numRef>
              <c:f>Sheet1!$B$2:$B$4</c:f>
              <c:numCache>
                <c:formatCode>0.0%</c:formatCode>
                <c:ptCount val="3"/>
                <c:pt idx="0">
                  <c:v>0.13500000000000001</c:v>
                </c:pt>
                <c:pt idx="1">
                  <c:v>0.80700000000000005</c:v>
                </c:pt>
                <c:pt idx="2">
                  <c:v>5.8000000000000003E-2</c:v>
                </c:pt>
              </c:numCache>
            </c:numRef>
          </c:val>
          <c:extLst>
            <c:ext xmlns:c16="http://schemas.microsoft.com/office/drawing/2014/chart" uri="{C3380CC4-5D6E-409C-BE32-E72D297353CC}">
              <c16:uniqueId val="{00000006-4627-42ED-B227-7954D5FB69CA}"/>
            </c:ext>
          </c:extLst>
        </c:ser>
        <c:dLbls>
          <c:showLegendKey val="0"/>
          <c:showVal val="0"/>
          <c:showCatName val="0"/>
          <c:showSerName val="0"/>
          <c:showPercent val="0"/>
          <c:showBubbleSize val="0"/>
          <c:showLeaderLines val="1"/>
        </c:dLbls>
        <c:firstSliceAng val="74"/>
      </c:pieChart>
      <c:spPr>
        <a:noFill/>
        <a:ln>
          <a:noFill/>
        </a:ln>
        <a:effectLst/>
      </c:spPr>
    </c:plotArea>
    <c:legend>
      <c:legendPos val="b"/>
      <c:layout>
        <c:manualLayout>
          <c:xMode val="edge"/>
          <c:yMode val="edge"/>
          <c:x val="0.57237405220180815"/>
          <c:y val="0.2346225471816023"/>
          <c:w val="0.38071467629046379"/>
          <c:h val="0.4796631671041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718659763652325"/>
          <c:y val="0.138974392906769"/>
          <c:w val="0.41049103237095363"/>
          <c:h val="0.94200332528155095"/>
        </c:manualLayout>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CCE-4D23-B092-0D3A0F43BA7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CCE-4D23-B092-0D3A0F43BA7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CCE-4D23-B092-0D3A0F43BA7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CCE-4D23-B092-0D3A0F43BA7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3CCE-4D23-B092-0D3A0F43BA7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3CCE-4D23-B092-0D3A0F43BA77}"/>
              </c:ext>
            </c:extLst>
          </c:dPt>
          <c:dLbls>
            <c:dLbl>
              <c:idx val="0"/>
              <c:layout>
                <c:manualLayout>
                  <c:x val="5.0536170862325574E-3"/>
                  <c:y val="-2.8993140563311939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CCE-4D23-B092-0D3A0F43BA77}"/>
                </c:ext>
              </c:extLst>
            </c:dLbl>
            <c:dLbl>
              <c:idx val="1"/>
              <c:layout>
                <c:manualLayout>
                  <c:x val="8.7317364812435599E-2"/>
                  <c:y val="2.466162317945551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CCE-4D23-B092-0D3A0F43BA77}"/>
                </c:ext>
              </c:extLst>
            </c:dLbl>
            <c:dLbl>
              <c:idx val="2"/>
              <c:layout>
                <c:manualLayout>
                  <c:x val="3.3501329296681169E-2"/>
                  <c:y val="7.9141283810111832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CCE-4D23-B092-0D3A0F43BA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Sheet1!$A$2:$A$7</c:f>
              <c:strCache>
                <c:ptCount val="6"/>
                <c:pt idx="0">
                  <c:v>Field Trips/Exposure</c:v>
                </c:pt>
                <c:pt idx="1">
                  <c:v>Youth Council/Advisory Board</c:v>
                </c:pt>
                <c:pt idx="2">
                  <c:v>Dry Party</c:v>
                </c:pt>
                <c:pt idx="3">
                  <c:v>Youth Retreat</c:v>
                </c:pt>
                <c:pt idx="4">
                  <c:v>Underage Drinking Prevention Campaign</c:v>
                </c:pt>
                <c:pt idx="5">
                  <c:v>Drop-in</c:v>
                </c:pt>
              </c:strCache>
            </c:strRef>
          </c:cat>
          <c:val>
            <c:numRef>
              <c:f>Sheet1!$B$2:$B$7</c:f>
              <c:numCache>
                <c:formatCode>0.0%</c:formatCode>
                <c:ptCount val="6"/>
                <c:pt idx="0">
                  <c:v>8.8999999999999996E-2</c:v>
                </c:pt>
                <c:pt idx="1">
                  <c:v>8.2000000000000003E-2</c:v>
                </c:pt>
                <c:pt idx="2">
                  <c:v>3.0000000000000001E-3</c:v>
                </c:pt>
                <c:pt idx="3">
                  <c:v>1.4999999999999999E-2</c:v>
                </c:pt>
                <c:pt idx="4">
                  <c:v>2E-3</c:v>
                </c:pt>
                <c:pt idx="5">
                  <c:v>0.81</c:v>
                </c:pt>
              </c:numCache>
            </c:numRef>
          </c:val>
          <c:extLst>
            <c:ext xmlns:c16="http://schemas.microsoft.com/office/drawing/2014/chart" uri="{C3380CC4-5D6E-409C-BE32-E72D297353CC}">
              <c16:uniqueId val="{0000000C-3CCE-4D23-B092-0D3A0F43BA77}"/>
            </c:ext>
          </c:extLst>
        </c:ser>
        <c:dLbls>
          <c:showLegendKey val="0"/>
          <c:showVal val="0"/>
          <c:showCatName val="0"/>
          <c:showSerName val="0"/>
          <c:showPercent val="0"/>
          <c:showBubbleSize val="0"/>
          <c:showLeaderLines val="1"/>
        </c:dLbls>
        <c:firstSliceAng val="128"/>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Completed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FOY</c:v>
                </c:pt>
                <c:pt idx="1">
                  <c:v>BART</c:v>
                </c:pt>
                <c:pt idx="2">
                  <c:v>Life Skills</c:v>
                </c:pt>
              </c:strCache>
            </c:strRef>
          </c:cat>
          <c:val>
            <c:numRef>
              <c:f>Sheet1!$B$2:$B$4</c:f>
              <c:numCache>
                <c:formatCode>0</c:formatCode>
                <c:ptCount val="3"/>
                <c:pt idx="0">
                  <c:v>110</c:v>
                </c:pt>
                <c:pt idx="1">
                  <c:v>138</c:v>
                </c:pt>
                <c:pt idx="2">
                  <c:v>18</c:v>
                </c:pt>
              </c:numCache>
            </c:numRef>
          </c:val>
          <c:extLst>
            <c:ext xmlns:c16="http://schemas.microsoft.com/office/drawing/2014/chart" uri="{C3380CC4-5D6E-409C-BE32-E72D297353CC}">
              <c16:uniqueId val="{00000000-16D5-4CEB-BD7A-6746574115A9}"/>
            </c:ext>
          </c:extLst>
        </c:ser>
        <c:ser>
          <c:idx val="1"/>
          <c:order val="1"/>
          <c:tx>
            <c:strRef>
              <c:f>Sheet1!$C$1</c:f>
              <c:strCache>
                <c:ptCount val="1"/>
                <c:pt idx="0">
                  <c:v>Enrolled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FOY</c:v>
                </c:pt>
                <c:pt idx="1">
                  <c:v>BART</c:v>
                </c:pt>
                <c:pt idx="2">
                  <c:v>Life Skills</c:v>
                </c:pt>
              </c:strCache>
            </c:strRef>
          </c:cat>
          <c:val>
            <c:numRef>
              <c:f>Sheet1!$C$2:$C$4</c:f>
              <c:numCache>
                <c:formatCode>0</c:formatCode>
                <c:ptCount val="3"/>
                <c:pt idx="0">
                  <c:v>159</c:v>
                </c:pt>
                <c:pt idx="1">
                  <c:v>207</c:v>
                </c:pt>
                <c:pt idx="2">
                  <c:v>28</c:v>
                </c:pt>
              </c:numCache>
            </c:numRef>
          </c:val>
          <c:extLst>
            <c:ext xmlns:c16="http://schemas.microsoft.com/office/drawing/2014/chart" uri="{C3380CC4-5D6E-409C-BE32-E72D297353CC}">
              <c16:uniqueId val="{00000001-16D5-4CEB-BD7A-6746574115A9}"/>
            </c:ext>
          </c:extLst>
        </c:ser>
        <c:dLbls>
          <c:showLegendKey val="0"/>
          <c:showVal val="0"/>
          <c:showCatName val="0"/>
          <c:showSerName val="0"/>
          <c:showPercent val="0"/>
          <c:showBubbleSize val="0"/>
        </c:dLbls>
        <c:gapWidth val="100"/>
        <c:axId val="522610904"/>
        <c:axId val="522609728"/>
      </c:barChart>
      <c:catAx>
        <c:axId val="5226109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22609728"/>
        <c:crosses val="autoZero"/>
        <c:auto val="1"/>
        <c:lblAlgn val="ctr"/>
        <c:lblOffset val="100"/>
        <c:noMultiLvlLbl val="0"/>
      </c:catAx>
      <c:valAx>
        <c:axId val="522609728"/>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900" b="1" i="0" u="none" strike="noStrike" baseline="0">
                    <a:effectLst/>
                  </a:rPr>
                  <a:t>Number of Youth</a:t>
                </a:r>
                <a:endParaRPr lang="en-US"/>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22610904"/>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95206051586039"/>
          <c:y val="2.6107922950309181E-2"/>
          <c:w val="0.41049103237095363"/>
          <c:h val="0.94200332528155095"/>
        </c:manualLayout>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5F6C-44B0-9F07-D9A1FFE9CBF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5F6C-44B0-9F07-D9A1FFE9CBF4}"/>
              </c:ext>
            </c:extLst>
          </c:dPt>
          <c:dLbls>
            <c:dLbl>
              <c:idx val="0"/>
              <c:layout>
                <c:manualLayout>
                  <c:x val="-8.1980024774131036E-2"/>
                  <c:y val="-0.1964197436485487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F6C-44B0-9F07-D9A1FFE9CBF4}"/>
                </c:ext>
              </c:extLst>
            </c:dLbl>
            <c:dLbl>
              <c:idx val="1"/>
              <c:layout>
                <c:manualLayout>
                  <c:x val="9.511741725353634E-2"/>
                  <c:y val="0.2443661289911576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F6C-44B0-9F07-D9A1FFE9CB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Sheet1!$A$2:$A$3</c:f>
              <c:strCache>
                <c:ptCount val="2"/>
                <c:pt idx="0">
                  <c:v>Adults</c:v>
                </c:pt>
                <c:pt idx="1">
                  <c:v>Youth</c:v>
                </c:pt>
              </c:strCache>
            </c:strRef>
          </c:cat>
          <c:val>
            <c:numRef>
              <c:f>Sheet1!$B$2:$B$3</c:f>
              <c:numCache>
                <c:formatCode>0.0%</c:formatCode>
                <c:ptCount val="2"/>
                <c:pt idx="0">
                  <c:v>0.55100000000000005</c:v>
                </c:pt>
                <c:pt idx="1">
                  <c:v>0.44800000000000001</c:v>
                </c:pt>
              </c:numCache>
            </c:numRef>
          </c:val>
          <c:extLst>
            <c:ext xmlns:c16="http://schemas.microsoft.com/office/drawing/2014/chart" uri="{C3380CC4-5D6E-409C-BE32-E72D297353CC}">
              <c16:uniqueId val="{00000004-5F6C-44B0-9F07-D9A1FFE9CBF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822286390291683"/>
          <c:y val="0.27417055918857602"/>
          <c:w val="0.12223321842443362"/>
          <c:h val="0.59265759152987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 Household Income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Georgia</c:v>
                </c:pt>
                <c:pt idx="1">
                  <c:v>30312</c:v>
                </c:pt>
                <c:pt idx="2">
                  <c:v>30314</c:v>
                </c:pt>
                <c:pt idx="3">
                  <c:v>30317</c:v>
                </c:pt>
                <c:pt idx="4">
                  <c:v>30318</c:v>
                </c:pt>
                <c:pt idx="5">
                  <c:v>30331</c:v>
                </c:pt>
              </c:strCache>
            </c:strRef>
          </c:cat>
          <c:val>
            <c:numRef>
              <c:f>Sheet1!$B$2:$B$7</c:f>
              <c:numCache>
                <c:formatCode>#,##0</c:formatCode>
                <c:ptCount val="6"/>
                <c:pt idx="0">
                  <c:v>55322</c:v>
                </c:pt>
                <c:pt idx="1">
                  <c:v>43067</c:v>
                </c:pt>
                <c:pt idx="2">
                  <c:v>25196</c:v>
                </c:pt>
                <c:pt idx="3">
                  <c:v>60845</c:v>
                </c:pt>
                <c:pt idx="4">
                  <c:v>43992</c:v>
                </c:pt>
                <c:pt idx="5">
                  <c:v>39956</c:v>
                </c:pt>
              </c:numCache>
            </c:numRef>
          </c:val>
          <c:extLst>
            <c:ext xmlns:c16="http://schemas.microsoft.com/office/drawing/2014/chart" uri="{C3380CC4-5D6E-409C-BE32-E72D297353CC}">
              <c16:uniqueId val="{00000000-0C0B-4752-B6F6-414CE202C02D}"/>
            </c:ext>
          </c:extLst>
        </c:ser>
        <c:dLbls>
          <c:showLegendKey val="0"/>
          <c:showVal val="0"/>
          <c:showCatName val="0"/>
          <c:showSerName val="0"/>
          <c:showPercent val="0"/>
          <c:showBubbleSize val="0"/>
        </c:dLbls>
        <c:gapWidth val="219"/>
        <c:overlap val="-27"/>
        <c:axId val="516814760"/>
        <c:axId val="400454800"/>
      </c:barChart>
      <c:catAx>
        <c:axId val="516814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54800"/>
        <c:crosses val="autoZero"/>
        <c:auto val="1"/>
        <c:lblAlgn val="ctr"/>
        <c:lblOffset val="100"/>
        <c:noMultiLvlLbl val="0"/>
      </c:catAx>
      <c:valAx>
        <c:axId val="40045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814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Population below the Poverty Line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Georgia</c:v>
                </c:pt>
                <c:pt idx="1">
                  <c:v>30312</c:v>
                </c:pt>
                <c:pt idx="2">
                  <c:v>30314</c:v>
                </c:pt>
                <c:pt idx="3">
                  <c:v>30317</c:v>
                </c:pt>
                <c:pt idx="4">
                  <c:v>30318</c:v>
                </c:pt>
                <c:pt idx="5">
                  <c:v>30331</c:v>
                </c:pt>
              </c:strCache>
            </c:strRef>
          </c:cat>
          <c:val>
            <c:numRef>
              <c:f>Sheet1!$B$2:$B$7</c:f>
              <c:numCache>
                <c:formatCode>0.0%</c:formatCode>
                <c:ptCount val="6"/>
                <c:pt idx="0">
                  <c:v>0.16</c:v>
                </c:pt>
                <c:pt idx="1">
                  <c:v>0.26600000000000001</c:v>
                </c:pt>
                <c:pt idx="2">
                  <c:v>0.34699999999999998</c:v>
                </c:pt>
                <c:pt idx="3">
                  <c:v>0.14199999999999999</c:v>
                </c:pt>
                <c:pt idx="4">
                  <c:v>0.22500000000000001</c:v>
                </c:pt>
                <c:pt idx="5">
                  <c:v>0.22600000000000001</c:v>
                </c:pt>
              </c:numCache>
            </c:numRef>
          </c:val>
          <c:extLst>
            <c:ext xmlns:c16="http://schemas.microsoft.com/office/drawing/2014/chart" uri="{C3380CC4-5D6E-409C-BE32-E72D297353CC}">
              <c16:uniqueId val="{00000000-D4BE-4E0C-A691-D7DDE2EF689B}"/>
            </c:ext>
          </c:extLst>
        </c:ser>
        <c:dLbls>
          <c:showLegendKey val="0"/>
          <c:showVal val="0"/>
          <c:showCatName val="0"/>
          <c:showSerName val="0"/>
          <c:showPercent val="0"/>
          <c:showBubbleSize val="0"/>
        </c:dLbls>
        <c:gapWidth val="219"/>
        <c:overlap val="-27"/>
        <c:axId val="400455584"/>
        <c:axId val="400455976"/>
      </c:barChart>
      <c:catAx>
        <c:axId val="40045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55976"/>
        <c:crosses val="autoZero"/>
        <c:auto val="1"/>
        <c:lblAlgn val="ctr"/>
        <c:lblOffset val="100"/>
        <c:noMultiLvlLbl val="0"/>
      </c:catAx>
      <c:valAx>
        <c:axId val="400455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55584"/>
        <c:crosses val="autoZero"/>
        <c:crossBetween val="between"/>
        <c:majorUnit val="0.2"/>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Population below 50% of Poverty Line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Georgia</c:v>
                </c:pt>
                <c:pt idx="1">
                  <c:v>30312</c:v>
                </c:pt>
                <c:pt idx="2">
                  <c:v>30314</c:v>
                </c:pt>
                <c:pt idx="3">
                  <c:v>30317</c:v>
                </c:pt>
                <c:pt idx="4">
                  <c:v>30318</c:v>
                </c:pt>
                <c:pt idx="5">
                  <c:v>30331</c:v>
                </c:pt>
              </c:strCache>
            </c:strRef>
          </c:cat>
          <c:val>
            <c:numRef>
              <c:f>Sheet1!$B$2:$B$7</c:f>
              <c:numCache>
                <c:formatCode>0.0%</c:formatCode>
                <c:ptCount val="6"/>
                <c:pt idx="0">
                  <c:v>8.6999999999999994E-2</c:v>
                </c:pt>
                <c:pt idx="1">
                  <c:v>0.11700000000000001</c:v>
                </c:pt>
                <c:pt idx="2">
                  <c:v>0.14399999999999999</c:v>
                </c:pt>
                <c:pt idx="3">
                  <c:v>6.4000000000000001E-2</c:v>
                </c:pt>
                <c:pt idx="4">
                  <c:v>8.6999999999999994E-2</c:v>
                </c:pt>
                <c:pt idx="5">
                  <c:v>0.126</c:v>
                </c:pt>
              </c:numCache>
            </c:numRef>
          </c:val>
          <c:extLst>
            <c:ext xmlns:c16="http://schemas.microsoft.com/office/drawing/2014/chart" uri="{C3380CC4-5D6E-409C-BE32-E72D297353CC}">
              <c16:uniqueId val="{00000000-6AD1-495C-BDD3-C13DB0B2BB1A}"/>
            </c:ext>
          </c:extLst>
        </c:ser>
        <c:dLbls>
          <c:showLegendKey val="0"/>
          <c:showVal val="0"/>
          <c:showCatName val="0"/>
          <c:showSerName val="0"/>
          <c:showPercent val="0"/>
          <c:showBubbleSize val="0"/>
        </c:dLbls>
        <c:gapWidth val="219"/>
        <c:overlap val="-27"/>
        <c:axId val="515391000"/>
        <c:axId val="515391392"/>
      </c:barChart>
      <c:catAx>
        <c:axId val="51539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91392"/>
        <c:crosses val="autoZero"/>
        <c:auto val="1"/>
        <c:lblAlgn val="ctr"/>
        <c:lblOffset val="100"/>
        <c:noMultiLvlLbl val="0"/>
      </c:catAx>
      <c:valAx>
        <c:axId val="5153913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91000"/>
        <c:crosses val="autoZero"/>
        <c:crossBetween val="between"/>
        <c:majorUnit val="0.2"/>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Residents</a:t>
            </a:r>
            <a:r>
              <a:rPr lang="en-US" baseline="0"/>
              <a:t> 25 years + with High School Education or above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Georgia</c:v>
                </c:pt>
                <c:pt idx="1">
                  <c:v>30312</c:v>
                </c:pt>
                <c:pt idx="2">
                  <c:v>30314</c:v>
                </c:pt>
                <c:pt idx="3">
                  <c:v>30317</c:v>
                </c:pt>
                <c:pt idx="4">
                  <c:v>30318</c:v>
                </c:pt>
                <c:pt idx="5">
                  <c:v>30331</c:v>
                </c:pt>
              </c:strCache>
            </c:strRef>
          </c:cat>
          <c:val>
            <c:numRef>
              <c:f>Sheet1!$B$2:$B$7</c:f>
              <c:numCache>
                <c:formatCode>0.0%</c:formatCode>
                <c:ptCount val="6"/>
                <c:pt idx="0">
                  <c:v>0.85899999999999999</c:v>
                </c:pt>
                <c:pt idx="1">
                  <c:v>0.90600000000000003</c:v>
                </c:pt>
                <c:pt idx="2">
                  <c:v>0.83099999999999996</c:v>
                </c:pt>
                <c:pt idx="3">
                  <c:v>0.88300000000000001</c:v>
                </c:pt>
                <c:pt idx="4">
                  <c:v>0.89800000000000002</c:v>
                </c:pt>
                <c:pt idx="5">
                  <c:v>0.877</c:v>
                </c:pt>
              </c:numCache>
            </c:numRef>
          </c:val>
          <c:extLst>
            <c:ext xmlns:c16="http://schemas.microsoft.com/office/drawing/2014/chart" uri="{C3380CC4-5D6E-409C-BE32-E72D297353CC}">
              <c16:uniqueId val="{00000000-9CC9-4BEF-A106-5E74933BE77B}"/>
            </c:ext>
          </c:extLst>
        </c:ser>
        <c:dLbls>
          <c:showLegendKey val="0"/>
          <c:showVal val="0"/>
          <c:showCatName val="0"/>
          <c:showSerName val="0"/>
          <c:showPercent val="0"/>
          <c:showBubbleSize val="0"/>
        </c:dLbls>
        <c:gapWidth val="219"/>
        <c:overlap val="-27"/>
        <c:axId val="515392176"/>
        <c:axId val="515392568"/>
      </c:barChart>
      <c:catAx>
        <c:axId val="51539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92568"/>
        <c:crosses val="autoZero"/>
        <c:auto val="1"/>
        <c:lblAlgn val="ctr"/>
        <c:lblOffset val="100"/>
        <c:noMultiLvlLbl val="0"/>
      </c:catAx>
      <c:valAx>
        <c:axId val="5153925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92176"/>
        <c:crosses val="autoZero"/>
        <c:crossBetween val="between"/>
        <c:majorUnit val="0.2"/>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Brooke Crawford</dc:creator>
  <cp:keywords/>
  <dc:description/>
  <cp:lastModifiedBy>Ashley Crawford</cp:lastModifiedBy>
  <cp:revision>2</cp:revision>
  <dcterms:created xsi:type="dcterms:W3CDTF">2018-11-27T16:56:00Z</dcterms:created>
  <dcterms:modified xsi:type="dcterms:W3CDTF">2018-11-27T16:56:00Z</dcterms:modified>
</cp:coreProperties>
</file>